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CFBF64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BC53F0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71BDD5BE" w14:textId="6DC5E77C" w:rsidR="00BC53F0" w:rsidRPr="00185D99" w:rsidRDefault="00185D99" w:rsidP="00BC53F0">
      <w:pPr>
        <w:pStyle w:val="Nzev"/>
        <w:tabs>
          <w:tab w:val="left" w:pos="1800"/>
        </w:tabs>
        <w:rPr>
          <w:rFonts w:ascii="Arial" w:hAnsi="Arial" w:cs="Arial"/>
          <w:color w:val="4472C4"/>
          <w:sz w:val="44"/>
          <w:szCs w:val="44"/>
        </w:rPr>
      </w:pPr>
      <w:r>
        <w:rPr>
          <w:rFonts w:ascii="Arial" w:hAnsi="Arial" w:cs="Arial"/>
          <w:color w:val="0070C0"/>
          <w:sz w:val="40"/>
          <w:szCs w:val="40"/>
        </w:rPr>
        <w:t>„</w:t>
      </w:r>
      <w:r w:rsidRPr="00185D99">
        <w:rPr>
          <w:rFonts w:ascii="Arial" w:hAnsi="Arial" w:cs="Arial"/>
          <w:color w:val="0070C0"/>
          <w:sz w:val="40"/>
          <w:szCs w:val="40"/>
        </w:rPr>
        <w:t>Komunikační sebeobrana-vstup do problematiky</w:t>
      </w:r>
      <w:r>
        <w:rPr>
          <w:rFonts w:ascii="Arial" w:hAnsi="Arial" w:cs="Arial"/>
          <w:color w:val="0070C0"/>
          <w:sz w:val="40"/>
          <w:szCs w:val="40"/>
        </w:rPr>
        <w:t>“</w:t>
      </w:r>
    </w:p>
    <w:p w14:paraId="1ABDD5CF" w14:textId="777FC4FA" w:rsidR="00BC53F0" w:rsidRDefault="00A175B9" w:rsidP="00A175B9">
      <w:pPr>
        <w:jc w:val="center"/>
        <w:rPr>
          <w:rFonts w:ascii="Arial" w:hAnsi="Arial" w:cs="Arial"/>
          <w:b/>
          <w:color w:val="44546A"/>
        </w:rPr>
      </w:pPr>
      <w:r>
        <w:rPr>
          <w:rFonts w:ascii="Arial" w:hAnsi="Arial" w:cs="Arial"/>
          <w:b/>
          <w:color w:val="44546A"/>
        </w:rPr>
        <w:t>(jsme obklopeni manipulanty a psychopaty?)</w:t>
      </w:r>
    </w:p>
    <w:p w14:paraId="5D1796AB" w14:textId="77777777" w:rsidR="00A175B9" w:rsidRPr="00C31380" w:rsidRDefault="00A175B9" w:rsidP="00A175B9">
      <w:pPr>
        <w:jc w:val="center"/>
        <w:rPr>
          <w:rFonts w:ascii="Arial" w:hAnsi="Arial" w:cs="Arial"/>
          <w:b/>
          <w:color w:val="44546A"/>
        </w:rPr>
      </w:pPr>
    </w:p>
    <w:p w14:paraId="44C61F6E" w14:textId="77777777" w:rsidR="00185D99" w:rsidRPr="00A175B9" w:rsidRDefault="00185D99" w:rsidP="00185D99">
      <w:pPr>
        <w:rPr>
          <w:rFonts w:ascii="Arial" w:hAnsi="Arial" w:cs="Arial"/>
          <w:color w:val="7030A0"/>
        </w:rPr>
      </w:pPr>
      <w:r w:rsidRPr="00A175B9">
        <w:rPr>
          <w:rFonts w:ascii="Arial" w:hAnsi="Arial" w:cs="Arial"/>
          <w:b/>
          <w:color w:val="7030A0"/>
        </w:rPr>
        <w:t xml:space="preserve">akreditace MPSV ČR: </w:t>
      </w:r>
      <w:r w:rsidRPr="00A175B9">
        <w:rPr>
          <w:rFonts w:ascii="Arial" w:hAnsi="Arial" w:cs="Arial"/>
          <w:bCs/>
          <w:color w:val="7030A0"/>
        </w:rPr>
        <w:t>„Komunikační sebeobrana-vstup do problematiky“</w:t>
      </w:r>
      <w:r w:rsidRPr="00A175B9">
        <w:rPr>
          <w:rFonts w:ascii="Arial" w:hAnsi="Arial" w:cs="Arial"/>
          <w:color w:val="7030A0"/>
        </w:rPr>
        <w:t xml:space="preserve"> </w:t>
      </w:r>
      <w:r w:rsidRPr="00A175B9">
        <w:rPr>
          <w:b/>
          <w:bCs/>
          <w:color w:val="7030A0"/>
        </w:rPr>
        <w:t>A2022/1276-SP/PC/VP</w:t>
      </w:r>
      <w:r w:rsidRPr="00A175B9">
        <w:rPr>
          <w:rFonts w:ascii="Arial" w:hAnsi="Arial" w:cs="Arial"/>
          <w:color w:val="7030A0"/>
        </w:rPr>
        <w:t xml:space="preserve"> (7. vyučovacích hodin) </w:t>
      </w:r>
    </w:p>
    <w:p w14:paraId="0CB07190" w14:textId="77777777" w:rsidR="00185D99" w:rsidRPr="00A175B9" w:rsidRDefault="00185D99" w:rsidP="00185D99">
      <w:pPr>
        <w:rPr>
          <w:rFonts w:ascii="Arial" w:hAnsi="Arial" w:cs="Arial"/>
          <w:bCs/>
          <w:color w:val="0070C0"/>
        </w:rPr>
      </w:pPr>
      <w:r w:rsidRPr="00A175B9">
        <w:rPr>
          <w:rFonts w:ascii="Arial" w:hAnsi="Arial" w:cs="Arial"/>
          <w:b/>
          <w:bCs/>
          <w:color w:val="0070C0"/>
        </w:rPr>
        <w:t>akreditace MVČR:</w:t>
      </w:r>
      <w:r w:rsidRPr="00A175B9">
        <w:rPr>
          <w:rFonts w:ascii="Arial" w:hAnsi="Arial" w:cs="Arial"/>
          <w:color w:val="0070C0"/>
        </w:rPr>
        <w:t xml:space="preserve"> </w:t>
      </w:r>
      <w:r w:rsidRPr="00A175B9">
        <w:rPr>
          <w:rFonts w:ascii="Arial" w:hAnsi="Arial" w:cs="Arial"/>
          <w:bCs/>
          <w:color w:val="0070C0"/>
        </w:rPr>
        <w:t>„Komunikační sebeobrana-vstup do problematiky (videokurz)“ AK/PV -85/2022 (7 hodin)</w:t>
      </w:r>
    </w:p>
    <w:p w14:paraId="31DD51B6" w14:textId="65BFDDE4" w:rsidR="00185D99" w:rsidRPr="00185D99" w:rsidRDefault="00185D99" w:rsidP="00185D99">
      <w:pPr>
        <w:rPr>
          <w:rFonts w:ascii="Arial" w:hAnsi="Arial" w:cs="Arial"/>
          <w:bCs/>
        </w:rPr>
      </w:pPr>
      <w:r w:rsidRPr="00185D99">
        <w:rPr>
          <w:rFonts w:ascii="Arial" w:hAnsi="Arial" w:cs="Arial"/>
          <w:b/>
        </w:rPr>
        <w:t>Na semináři zaznějí četné příklady z psychoterapeutické a mediátorské praxe lektora</w:t>
      </w:r>
    </w:p>
    <w:p w14:paraId="037B9519" w14:textId="24E64B23" w:rsidR="00185D99" w:rsidRPr="00A175B9" w:rsidRDefault="00185D99" w:rsidP="00185D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23E4F" w:themeColor="text2" w:themeShade="BF"/>
        </w:rPr>
      </w:pPr>
      <w:r w:rsidRPr="00A175B9">
        <w:rPr>
          <w:b/>
          <w:bCs/>
          <w:color w:val="323E4F" w:themeColor="text2" w:themeShade="BF"/>
        </w:rPr>
        <w:t xml:space="preserve">Cílem kurzu je </w:t>
      </w:r>
    </w:p>
    <w:p w14:paraId="3713A28B" w14:textId="20C131A8" w:rsidR="00185D99" w:rsidRPr="00A175B9" w:rsidRDefault="00185D99" w:rsidP="00185D99">
      <w:pPr>
        <w:numPr>
          <w:ilvl w:val="0"/>
          <w:numId w:val="10"/>
        </w:numPr>
        <w:spacing w:after="0" w:line="240" w:lineRule="auto"/>
        <w:jc w:val="both"/>
        <w:rPr>
          <w:bCs/>
          <w:color w:val="323E4F" w:themeColor="text2" w:themeShade="BF"/>
        </w:rPr>
      </w:pPr>
      <w:r w:rsidRPr="00A175B9">
        <w:rPr>
          <w:bCs/>
          <w:color w:val="323E4F" w:themeColor="text2" w:themeShade="BF"/>
        </w:rPr>
        <w:t xml:space="preserve">Pomoci </w:t>
      </w:r>
      <w:r w:rsidR="00A175B9" w:rsidRPr="00A175B9">
        <w:rPr>
          <w:bCs/>
          <w:color w:val="323E4F" w:themeColor="text2" w:themeShade="BF"/>
        </w:rPr>
        <w:t>pomáhajícím profesím</w:t>
      </w:r>
      <w:r w:rsidRPr="00A175B9">
        <w:rPr>
          <w:bCs/>
          <w:color w:val="323E4F" w:themeColor="text2" w:themeShade="BF"/>
        </w:rPr>
        <w:t xml:space="preserve"> nastavit </w:t>
      </w:r>
      <w:r w:rsidRPr="00A175B9">
        <w:rPr>
          <w:b/>
          <w:color w:val="323E4F" w:themeColor="text2" w:themeShade="BF"/>
        </w:rPr>
        <w:t>základní komunikační pravidla</w:t>
      </w:r>
      <w:r w:rsidRPr="00A175B9">
        <w:rPr>
          <w:bCs/>
          <w:color w:val="323E4F" w:themeColor="text2" w:themeShade="BF"/>
        </w:rPr>
        <w:t xml:space="preserve"> při vedení komunikace s klienty</w:t>
      </w:r>
    </w:p>
    <w:p w14:paraId="074F8CC2" w14:textId="77777777" w:rsidR="00185D99" w:rsidRPr="00A175B9" w:rsidRDefault="00185D99" w:rsidP="00185D99">
      <w:pPr>
        <w:numPr>
          <w:ilvl w:val="0"/>
          <w:numId w:val="10"/>
        </w:numPr>
        <w:spacing w:after="0" w:line="240" w:lineRule="auto"/>
        <w:rPr>
          <w:bCs/>
          <w:color w:val="323E4F" w:themeColor="text2" w:themeShade="BF"/>
        </w:rPr>
      </w:pPr>
      <w:r w:rsidRPr="00A175B9">
        <w:rPr>
          <w:bCs/>
          <w:color w:val="323E4F" w:themeColor="text2" w:themeShade="BF"/>
        </w:rPr>
        <w:t xml:space="preserve">Naučit posluchače, </w:t>
      </w:r>
      <w:r w:rsidRPr="00A175B9">
        <w:rPr>
          <w:b/>
          <w:color w:val="323E4F" w:themeColor="text2" w:themeShade="BF"/>
        </w:rPr>
        <w:t>jak jednat s agresivními a pasivními klienty</w:t>
      </w:r>
      <w:r w:rsidRPr="00A175B9">
        <w:rPr>
          <w:bCs/>
          <w:color w:val="323E4F" w:themeColor="text2" w:themeShade="BF"/>
        </w:rPr>
        <w:t xml:space="preserve"> a používat k tomu asertivních dovedností a dalších vybraných komunikačních technik.</w:t>
      </w:r>
    </w:p>
    <w:p w14:paraId="11D7B549" w14:textId="77777777" w:rsidR="00185D99" w:rsidRPr="00A175B9" w:rsidRDefault="00185D99" w:rsidP="00185D99">
      <w:pPr>
        <w:numPr>
          <w:ilvl w:val="0"/>
          <w:numId w:val="10"/>
        </w:numPr>
        <w:spacing w:after="0" w:line="240" w:lineRule="auto"/>
        <w:rPr>
          <w:bCs/>
          <w:color w:val="323E4F" w:themeColor="text2" w:themeShade="BF"/>
        </w:rPr>
      </w:pPr>
      <w:r w:rsidRPr="00A175B9">
        <w:rPr>
          <w:b/>
          <w:color w:val="323E4F" w:themeColor="text2" w:themeShade="BF"/>
        </w:rPr>
        <w:t>Umožnit absolventům poznat různé formy manipulace a naučit je způsobům obrany proti ní</w:t>
      </w:r>
      <w:r w:rsidRPr="00A175B9">
        <w:rPr>
          <w:bCs/>
          <w:color w:val="323E4F" w:themeColor="text2" w:themeShade="BF"/>
        </w:rPr>
        <w:t>, tak, aby práce s klientem mohla pokračovat směrem ke stanovanému cíli</w:t>
      </w:r>
    </w:p>
    <w:p w14:paraId="53BBFED6" w14:textId="77777777" w:rsidR="00185D99" w:rsidRPr="00A175B9" w:rsidRDefault="00185D99" w:rsidP="00185D9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8496B0" w:themeColor="text2" w:themeTint="99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217087" w14:textId="4536F2A9" w:rsidR="00CF5D2A" w:rsidRPr="00185D99" w:rsidRDefault="00185D99" w:rsidP="00185D99">
            <w:pPr>
              <w:pStyle w:val="Nzev"/>
              <w:tabs>
                <w:tab w:val="left" w:pos="1800"/>
              </w:tabs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185D99">
              <w:rPr>
                <w:rFonts w:ascii="Arial" w:hAnsi="Arial" w:cs="Arial"/>
                <w:b w:val="0"/>
                <w:bCs w:val="0"/>
                <w:color w:val="FFFFFF" w:themeColor="background1"/>
                <w:sz w:val="32"/>
                <w:szCs w:val="32"/>
              </w:rPr>
              <w:t>Komunikační sebeobrana-vstup do problematiky</w:t>
            </w:r>
          </w:p>
          <w:p w14:paraId="5883D240" w14:textId="6B56FC7E" w:rsidR="007C6CBC" w:rsidRPr="00CF5D2A" w:rsidRDefault="007C6CBC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A549E3" w14:textId="60C17D82" w:rsidR="00BC53F0" w:rsidRPr="00BC53F0" w:rsidRDefault="007C6CBC" w:rsidP="00BC53F0">
            <w:pPr>
              <w:rPr>
                <w:rFonts w:ascii="Arial" w:hAnsi="Arial" w:cs="Arial"/>
              </w:rPr>
            </w:pPr>
            <w:r w:rsidRPr="00A175B9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BC53F0" w:rsidRPr="00A175B9">
              <w:rPr>
                <w:bCs/>
                <w:color w:val="7030A0"/>
              </w:rPr>
              <w:t>MPSV č.: A202</w:t>
            </w:r>
            <w:r w:rsidR="00185D99" w:rsidRPr="00A175B9">
              <w:rPr>
                <w:bCs/>
                <w:color w:val="7030A0"/>
              </w:rPr>
              <w:t>2</w:t>
            </w:r>
            <w:r w:rsidR="00BC53F0" w:rsidRPr="00A175B9">
              <w:rPr>
                <w:bCs/>
                <w:color w:val="7030A0"/>
              </w:rPr>
              <w:t>/</w:t>
            </w:r>
            <w:r w:rsidR="00185D99" w:rsidRPr="00A175B9">
              <w:rPr>
                <w:bCs/>
                <w:color w:val="7030A0"/>
              </w:rPr>
              <w:t>1276</w:t>
            </w:r>
            <w:r w:rsidR="00BC53F0" w:rsidRPr="00A175B9">
              <w:rPr>
                <w:bCs/>
                <w:color w:val="7030A0"/>
              </w:rPr>
              <w:t>-SP</w:t>
            </w:r>
            <w:r w:rsidR="00185D99" w:rsidRPr="00A175B9">
              <w:rPr>
                <w:bCs/>
                <w:color w:val="7030A0"/>
              </w:rPr>
              <w:t>/PC/VP</w:t>
            </w:r>
            <w:r w:rsidR="00BC53F0" w:rsidRPr="00A175B9">
              <w:rPr>
                <w:bCs/>
                <w:color w:val="7030A0"/>
              </w:rPr>
              <w:t xml:space="preserve"> </w:t>
            </w:r>
            <w:r w:rsidR="00BC53F0" w:rsidRPr="00A175B9">
              <w:rPr>
                <w:bCs/>
                <w:i/>
                <w:iCs/>
                <w:color w:val="7030A0"/>
              </w:rPr>
              <w:t>(</w:t>
            </w:r>
            <w:r w:rsidR="00185D99" w:rsidRPr="00A175B9">
              <w:rPr>
                <w:bCs/>
                <w:i/>
                <w:iCs/>
                <w:color w:val="7030A0"/>
              </w:rPr>
              <w:t>7</w:t>
            </w:r>
            <w:r w:rsidR="00BC53F0" w:rsidRPr="00A175B9">
              <w:rPr>
                <w:bCs/>
                <w:i/>
                <w:iCs/>
                <w:color w:val="7030A0"/>
              </w:rPr>
              <w:t xml:space="preserve">. hodin) </w:t>
            </w:r>
            <w:r w:rsidR="00205A98" w:rsidRPr="00A175B9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31256A" w:rsidRPr="00A175B9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C53F0">
              <w:rPr>
                <w:rFonts w:ascii="Calibri" w:eastAsia="Times New Roman" w:hAnsi="Calibri" w:cs="Calibri"/>
                <w:bCs/>
                <w:color w:val="7030A0"/>
                <w:kern w:val="0"/>
                <w:lang w:eastAsia="cs-CZ"/>
                <w14:ligatures w14:val="none"/>
              </w:rPr>
              <w:br/>
            </w:r>
            <w:r w:rsidRPr="00A175B9"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cs-CZ"/>
                <w14:ligatures w14:val="none"/>
              </w:rPr>
              <w:t>MVČR</w:t>
            </w:r>
            <w:r w:rsidRPr="00A175B9">
              <w:rPr>
                <w:rFonts w:ascii="Calibri" w:eastAsia="Times New Roman" w:hAnsi="Calibri" w:cs="Calibri"/>
                <w:color w:val="0070C0"/>
                <w:kern w:val="0"/>
                <w:lang w:eastAsia="cs-CZ"/>
                <w14:ligatures w14:val="none"/>
              </w:rPr>
              <w:t xml:space="preserve">: </w:t>
            </w:r>
            <w:r w:rsidR="00BC53F0" w:rsidRPr="00A175B9">
              <w:rPr>
                <w:color w:val="0070C0"/>
              </w:rPr>
              <w:t>AK/PV-</w:t>
            </w:r>
            <w:r w:rsidR="00185D99" w:rsidRPr="00A175B9">
              <w:rPr>
                <w:color w:val="0070C0"/>
              </w:rPr>
              <w:t>85</w:t>
            </w:r>
            <w:r w:rsidR="00BC53F0" w:rsidRPr="00A175B9">
              <w:rPr>
                <w:color w:val="0070C0"/>
              </w:rPr>
              <w:t>/202</w:t>
            </w:r>
            <w:r w:rsidR="00185D99" w:rsidRPr="00A175B9">
              <w:rPr>
                <w:color w:val="0070C0"/>
              </w:rPr>
              <w:t>2</w:t>
            </w:r>
            <w:r w:rsidR="00BC53F0" w:rsidRPr="00A175B9">
              <w:rPr>
                <w:rFonts w:ascii="Arial" w:hAnsi="Arial" w:cs="Arial"/>
                <w:color w:val="0070C0"/>
              </w:rPr>
              <w:t xml:space="preserve"> (</w:t>
            </w:r>
            <w:r w:rsidR="00185D99" w:rsidRPr="00A175B9">
              <w:rPr>
                <w:rFonts w:ascii="Arial" w:hAnsi="Arial" w:cs="Arial"/>
                <w:color w:val="0070C0"/>
              </w:rPr>
              <w:t>7</w:t>
            </w:r>
            <w:r w:rsidR="00BC53F0" w:rsidRPr="00A175B9">
              <w:rPr>
                <w:rFonts w:ascii="Arial" w:hAnsi="Arial" w:cs="Arial"/>
                <w:color w:val="0070C0"/>
              </w:rPr>
              <w:t>. hodin)</w:t>
            </w:r>
          </w:p>
          <w:p w14:paraId="0C91C1DC" w14:textId="0A104722" w:rsidR="007C6CBC" w:rsidRPr="00BC53F0" w:rsidRDefault="007C6CBC" w:rsidP="00BC53F0">
            <w:pPr>
              <w:rPr>
                <w:rFonts w:cs="Calibri"/>
              </w:rPr>
            </w:pP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3667A989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A175B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501004</w:t>
            </w:r>
          </w:p>
        </w:tc>
      </w:tr>
      <w:tr w:rsidR="007C6CBC" w:rsidRPr="007C6CBC" w14:paraId="46238250" w14:textId="77777777" w:rsidTr="00185D99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E572E" w14:textId="5A8AEBD5" w:rsidR="007C6CBC" w:rsidRPr="00185D99" w:rsidRDefault="00185D99" w:rsidP="00BC53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85D99">
              <w:rPr>
                <w:rFonts w:cstheme="minorHAnsi"/>
                <w:b/>
                <w:bCs/>
                <w:sz w:val="24"/>
                <w:szCs w:val="24"/>
              </w:rPr>
              <w:t>Dr. Ing. Jiří Staněk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185D99">
              <w:rPr>
                <w:rFonts w:cstheme="minorHAnsi"/>
                <w:sz w:val="24"/>
                <w:szCs w:val="24"/>
              </w:rPr>
              <w:t>zapsaný mediátor, psychoterapeut a rodinný poradce, zkušený lektor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49AFFF9" w:rsidR="007C6CBC" w:rsidRPr="00800F74" w:rsidRDefault="00A175B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5D99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5F6FA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5F6FA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FDAE6E6" w:rsidR="007C6CBC" w:rsidRPr="005F6FAD" w:rsidRDefault="005F6FAD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F6FAD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  <w:r w:rsidR="004B370E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516F08B6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5F6FAD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A175B9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A175B9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A175B9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A175B9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3815190D" w14:textId="77777777" w:rsidR="00185D99" w:rsidRPr="00A175B9" w:rsidRDefault="00185D99" w:rsidP="00185D99">
      <w:pPr>
        <w:pStyle w:val="Odstavecseseznamem"/>
        <w:numPr>
          <w:ilvl w:val="0"/>
          <w:numId w:val="11"/>
        </w:numPr>
        <w:contextualSpacing/>
        <w:jc w:val="both"/>
        <w:rPr>
          <w:rFonts w:ascii="Arial" w:hAnsi="Arial" w:cs="Arial"/>
          <w:color w:val="4472C4" w:themeColor="accent1"/>
        </w:rPr>
      </w:pPr>
      <w:r w:rsidRPr="00A175B9">
        <w:rPr>
          <w:rFonts w:ascii="Arial" w:hAnsi="Arial" w:cs="Arial"/>
          <w:b/>
          <w:color w:val="4472C4" w:themeColor="accent1"/>
        </w:rPr>
        <w:t>Úvod do problematiky</w:t>
      </w:r>
      <w:r w:rsidRPr="00A175B9">
        <w:rPr>
          <w:rFonts w:ascii="Arial" w:hAnsi="Arial" w:cs="Arial"/>
          <w:color w:val="4472C4" w:themeColor="accent1"/>
        </w:rPr>
        <w:t xml:space="preserve">: komunikační sebeobrana – ochrana obou stran komunikace, správné načasování a zahájení komunikace s klientem. </w:t>
      </w:r>
    </w:p>
    <w:p w14:paraId="1C6ED713" w14:textId="77777777" w:rsidR="00185D99" w:rsidRPr="00A175B9" w:rsidRDefault="00185D99" w:rsidP="00185D99">
      <w:pPr>
        <w:pStyle w:val="Odstavecseseznamem"/>
        <w:numPr>
          <w:ilvl w:val="0"/>
          <w:numId w:val="11"/>
        </w:numPr>
        <w:contextualSpacing/>
        <w:jc w:val="both"/>
        <w:rPr>
          <w:rFonts w:ascii="Arial" w:hAnsi="Arial" w:cs="Arial"/>
          <w:color w:val="4472C4" w:themeColor="accent1"/>
        </w:rPr>
      </w:pPr>
      <w:r w:rsidRPr="00A175B9">
        <w:rPr>
          <w:rFonts w:ascii="Arial" w:hAnsi="Arial" w:cs="Arial"/>
          <w:b/>
          <w:color w:val="4472C4" w:themeColor="accent1"/>
        </w:rPr>
        <w:t xml:space="preserve">Komunikace s klienty na úřadě: </w:t>
      </w:r>
      <w:r w:rsidRPr="00A175B9">
        <w:rPr>
          <w:rFonts w:ascii="Arial" w:hAnsi="Arial" w:cs="Arial"/>
          <w:color w:val="4472C4" w:themeColor="accent1"/>
        </w:rPr>
        <w:t>zásady správně vedené komunikace s klientem, techniky používané pří komunikaci, kladení otázek, motivační rozhovor, komunikace s klienty s různými druh postižení, komunikace se seniory a komunikace s lidmi se sociokulturním znevýhodněním. Vybrané typy nebezpečných osobností – jak je odhalit a jak se před nimi chránit.</w:t>
      </w:r>
    </w:p>
    <w:p w14:paraId="4EA0F920" w14:textId="77777777" w:rsidR="00185D99" w:rsidRPr="00A175B9" w:rsidRDefault="00185D99" w:rsidP="00185D99">
      <w:pPr>
        <w:pStyle w:val="Odstavecseseznamem"/>
        <w:numPr>
          <w:ilvl w:val="0"/>
          <w:numId w:val="11"/>
        </w:numPr>
        <w:contextualSpacing/>
        <w:jc w:val="both"/>
        <w:rPr>
          <w:rFonts w:ascii="Arial" w:hAnsi="Arial" w:cs="Arial"/>
          <w:color w:val="4472C4" w:themeColor="accent1"/>
        </w:rPr>
      </w:pPr>
      <w:r w:rsidRPr="00A175B9">
        <w:rPr>
          <w:rFonts w:ascii="Arial" w:hAnsi="Arial" w:cs="Arial"/>
          <w:b/>
          <w:color w:val="4472C4" w:themeColor="accent1"/>
        </w:rPr>
        <w:t>Manipulace a obrana proti manipulaci</w:t>
      </w:r>
      <w:r w:rsidRPr="00A175B9">
        <w:rPr>
          <w:rFonts w:ascii="Arial" w:hAnsi="Arial" w:cs="Arial"/>
          <w:color w:val="4472C4" w:themeColor="accent1"/>
        </w:rPr>
        <w:t>: příklady agresivního, pasivního, asertivního a manipulativního chování, manipulativního chování, ovlivnitelná osoba – jak jí rozpoznat, manipulace a její fáze, manipulátor, jak rozpoznat manipulaci-odhalení manipulátora, druhy manipulačního chování a techniky obrany před tímto chováním. Slovní sebeobrana a její využití v praxi.</w:t>
      </w:r>
    </w:p>
    <w:p w14:paraId="51590E3E" w14:textId="23AA12D3" w:rsidR="00185D99" w:rsidRPr="00A175B9" w:rsidRDefault="00185D99" w:rsidP="00185D99">
      <w:pPr>
        <w:pStyle w:val="Odstavecseseznamem"/>
        <w:numPr>
          <w:ilvl w:val="0"/>
          <w:numId w:val="11"/>
        </w:numPr>
        <w:contextualSpacing/>
        <w:jc w:val="both"/>
        <w:rPr>
          <w:rFonts w:ascii="Arial" w:hAnsi="Arial" w:cs="Arial"/>
          <w:color w:val="4472C4" w:themeColor="accent1"/>
        </w:rPr>
      </w:pPr>
      <w:r w:rsidRPr="00A175B9">
        <w:rPr>
          <w:rFonts w:ascii="Arial" w:hAnsi="Arial" w:cs="Arial"/>
          <w:b/>
          <w:color w:val="4472C4" w:themeColor="accent1"/>
        </w:rPr>
        <w:t>Závěr</w:t>
      </w:r>
      <w:r w:rsidRPr="00A175B9">
        <w:rPr>
          <w:rFonts w:ascii="Arial" w:hAnsi="Arial" w:cs="Arial"/>
          <w:color w:val="4472C4" w:themeColor="accent1"/>
        </w:rPr>
        <w:t>: diskuze, dotazy posluchačů, zpětná vazba k obsahu programu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2BADFD3E" w14:textId="77777777" w:rsidR="005F6FAD" w:rsidRDefault="005F6FAD" w:rsidP="005F6FAD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4CD9062B" w14:textId="77777777" w:rsidR="005F6FAD" w:rsidRDefault="005F6FAD" w:rsidP="005F6FAD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3CCE86DF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>
          <w:rPr>
            <w:rStyle w:val="Hypertextovodkaz"/>
            <w:rFonts w:eastAsia="Times New Roman" w:cstheme="minorHAnsi"/>
            <w:kern w:val="0"/>
            <w:sz w:val="24"/>
            <w:szCs w:val="24"/>
            <w:lang w:eastAsia="cs-CZ"/>
            <w14:ligatures w14:val="none"/>
          </w:rPr>
          <w:t>www.topseminare.cz</w:t>
        </w:r>
      </w:hyperlink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>
          <w:rPr>
            <w:rStyle w:val="Hypertextovodkaz"/>
            <w:rFonts w:eastAsia="Times New Roman" w:cstheme="minorHAnsi"/>
            <w:b/>
            <w:kern w:val="0"/>
            <w:sz w:val="24"/>
            <w:szCs w:val="24"/>
            <w:lang w:eastAsia="cs-CZ"/>
            <w14:ligatures w14:val="none"/>
          </w:rPr>
          <w:t>info@topseminare.cz</w:t>
        </w:r>
      </w:hyperlink>
      <w:r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A18FE63" w14:textId="77777777" w:rsidR="005F6FAD" w:rsidRDefault="005F6FAD" w:rsidP="005F6FAD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0BE412F4" w14:textId="77777777" w:rsidR="005F6FAD" w:rsidRDefault="005F6FAD" w:rsidP="005F6FAD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47B7DF33" w14:textId="77777777" w:rsidR="005F6FAD" w:rsidRDefault="005F6FAD" w:rsidP="005F6FAD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75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3D083" w14:textId="77777777" w:rsidR="001138CB" w:rsidRDefault="001138CB" w:rsidP="007C6CBC">
      <w:pPr>
        <w:spacing w:after="0" w:line="240" w:lineRule="auto"/>
      </w:pPr>
      <w:r>
        <w:separator/>
      </w:r>
    </w:p>
  </w:endnote>
  <w:endnote w:type="continuationSeparator" w:id="0">
    <w:p w14:paraId="429B15A1" w14:textId="77777777" w:rsidR="001138CB" w:rsidRDefault="001138C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DDCF1" w14:textId="77777777" w:rsidR="001138CB" w:rsidRDefault="001138CB" w:rsidP="007C6CBC">
      <w:pPr>
        <w:spacing w:after="0" w:line="240" w:lineRule="auto"/>
      </w:pPr>
      <w:r>
        <w:separator/>
      </w:r>
    </w:p>
  </w:footnote>
  <w:footnote w:type="continuationSeparator" w:id="0">
    <w:p w14:paraId="06AFB739" w14:textId="77777777" w:rsidR="001138CB" w:rsidRDefault="001138C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EA9"/>
    <w:multiLevelType w:val="hybridMultilevel"/>
    <w:tmpl w:val="408A7B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876"/>
    <w:multiLevelType w:val="hybridMultilevel"/>
    <w:tmpl w:val="16FC0AE4"/>
    <w:lvl w:ilvl="0" w:tplc="48E61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6F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FA7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25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C3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C2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862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8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35797"/>
    <w:multiLevelType w:val="hybridMultilevel"/>
    <w:tmpl w:val="12CEB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26F67"/>
    <w:multiLevelType w:val="hybridMultilevel"/>
    <w:tmpl w:val="D4A673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16851"/>
    <w:multiLevelType w:val="hybridMultilevel"/>
    <w:tmpl w:val="60784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E1D1C"/>
    <w:multiLevelType w:val="hybridMultilevel"/>
    <w:tmpl w:val="0D105E58"/>
    <w:lvl w:ilvl="0" w:tplc="E37A3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4DF2"/>
    <w:multiLevelType w:val="hybridMultilevel"/>
    <w:tmpl w:val="FC70F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4"/>
  </w:num>
  <w:num w:numId="2" w16cid:durableId="966083725">
    <w:abstractNumId w:val="2"/>
  </w:num>
  <w:num w:numId="3" w16cid:durableId="634259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858812">
    <w:abstractNumId w:val="9"/>
  </w:num>
  <w:num w:numId="5" w16cid:durableId="1940797747">
    <w:abstractNumId w:val="1"/>
  </w:num>
  <w:num w:numId="6" w16cid:durableId="740101210">
    <w:abstractNumId w:val="3"/>
  </w:num>
  <w:num w:numId="7" w16cid:durableId="1942448646">
    <w:abstractNumId w:val="0"/>
  </w:num>
  <w:num w:numId="8" w16cid:durableId="747187529">
    <w:abstractNumId w:val="5"/>
  </w:num>
  <w:num w:numId="9" w16cid:durableId="207498570">
    <w:abstractNumId w:val="8"/>
  </w:num>
  <w:num w:numId="10" w16cid:durableId="1096362071">
    <w:abstractNumId w:val="7"/>
  </w:num>
  <w:num w:numId="11" w16cid:durableId="5045926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25CC"/>
    <w:rsid w:val="000A10BE"/>
    <w:rsid w:val="001138CB"/>
    <w:rsid w:val="00185D99"/>
    <w:rsid w:val="001A1D47"/>
    <w:rsid w:val="00205A98"/>
    <w:rsid w:val="00234B2D"/>
    <w:rsid w:val="0031256A"/>
    <w:rsid w:val="0037371C"/>
    <w:rsid w:val="003F2498"/>
    <w:rsid w:val="00415FF2"/>
    <w:rsid w:val="00475F21"/>
    <w:rsid w:val="004B370E"/>
    <w:rsid w:val="0056091F"/>
    <w:rsid w:val="0058264B"/>
    <w:rsid w:val="005F6FAD"/>
    <w:rsid w:val="006B1FB6"/>
    <w:rsid w:val="007C6CBC"/>
    <w:rsid w:val="00800F74"/>
    <w:rsid w:val="00811697"/>
    <w:rsid w:val="008B3214"/>
    <w:rsid w:val="008E0284"/>
    <w:rsid w:val="009C29DA"/>
    <w:rsid w:val="009F271F"/>
    <w:rsid w:val="00A11423"/>
    <w:rsid w:val="00A175B9"/>
    <w:rsid w:val="00B640BA"/>
    <w:rsid w:val="00BC53F0"/>
    <w:rsid w:val="00BD5CC2"/>
    <w:rsid w:val="00C81E4D"/>
    <w:rsid w:val="00CE6175"/>
    <w:rsid w:val="00CF5D2A"/>
    <w:rsid w:val="00D665A0"/>
    <w:rsid w:val="00DA6492"/>
    <w:rsid w:val="00E40414"/>
    <w:rsid w:val="00EA248A"/>
    <w:rsid w:val="00E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5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3125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1256A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31256A"/>
    <w:rPr>
      <w:color w:val="0000FF"/>
      <w:u w:val="single"/>
    </w:rPr>
  </w:style>
  <w:style w:type="paragraph" w:styleId="Normlnweb">
    <w:name w:val="Normal (Web)"/>
    <w:basedOn w:val="Normln"/>
    <w:uiPriority w:val="99"/>
    <w:rsid w:val="0031256A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BC53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BC53F0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2</cp:revision>
  <dcterms:created xsi:type="dcterms:W3CDTF">2024-10-25T11:37:00Z</dcterms:created>
  <dcterms:modified xsi:type="dcterms:W3CDTF">2024-10-25T11:37:00Z</dcterms:modified>
</cp:coreProperties>
</file>