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48"/>
          <w:szCs w:val="48"/>
          <w:u w:val="none"/>
          <w:shd w:fill="auto" w:val="clear"/>
          <w:vertAlign w:val="baseline"/>
          <w:rtl w:val="0"/>
        </w:rPr>
        <w:t xml:space="preserve">„Aspekt kriminality v sociální práci s rodinou“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</w:t>
      </w:r>
      <w:r w:rsidDel="00000000" w:rsidR="00000000" w:rsidRPr="00000000">
        <w:rPr>
          <w:b w:val="1"/>
          <w:color w:val="7030a0"/>
          <w:rtl w:val="0"/>
        </w:rPr>
        <w:t xml:space="preserve"> Aspekt kriminality v sociální práci s rodinou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.  Akreditace č.: 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A2024/0706-SP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. (8. hodin)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5303"/>
        <w:gridCol w:w="5405"/>
        <w:tblGridChange w:id="0">
          <w:tblGrid>
            <w:gridCol w:w="5303"/>
            <w:gridCol w:w="540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Aspekt kriminality v sociální práci s rodinou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MPSV: </w:t>
            </w:r>
            <w:r w:rsidDel="00000000" w:rsidR="00000000" w:rsidRPr="00000000">
              <w:rPr>
                <w:rtl w:val="0"/>
              </w:rPr>
              <w:t xml:space="preserve">A2024/0706-SP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(8. hodin) kombinovaná forma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MVČR: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202502005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NOVINKA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Mgr. Václav Pěkník DiS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- v</w:t>
            </w:r>
            <w:r w:rsidDel="00000000" w:rsidR="00000000" w:rsidRPr="00000000">
              <w:rPr>
                <w:rtl w:val="0"/>
              </w:rPr>
              <w:t xml:space="preserve">edoucí oddělení sociálně-právní ochrany dětí, ÚMOb Slezská Ostrava</w:t>
            </w:r>
            <w:r w:rsidDel="00000000" w:rsidR="00000000" w:rsidRPr="00000000">
              <w:rPr>
                <w:color w:val="000000"/>
                <w:rtl w:val="0"/>
              </w:rPr>
              <w:t xml:space="preserve">, lektor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6.2. 2025 (čtvrtek) od 8.00,00 hod.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ONLINE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Úvod do problematiky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Představení tématu a lektora, základní pojmy.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Agrese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Agrese, agresivita, delikvence, kriminalita, latentní kriminalita, kriminalita mládeže, psychologická charakteristika kriminálního jednání, faktory ovlivňující rozvoj delikventního chování – biologické, psychické, sociální, osobnost pachatele, přehled vybraných anamnestických údajů kriminální subkultury OSPOD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Sociální práce OSPOD s rodiči, dětmi a mladistvými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Rodičovská odpovědnost, intervence, zásah OSPOD – veřejnoprávní ochrana, principy, zájem a blaho dítěte, zaměření sociálně-právní ochrany dětí, rozlišení opatření ve vztahu k nezletilých a mladistvým, základní zásady práce OSPOD s dětmi a mladistvými, kteří se ocitají v konfliktu se zákonem, využití měkkých nástrojů, motivační rozhovory, filozofie, principy MR, úkony PČR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Kriminalita dětí a dospívajících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Vývoj kriminality v ČR, hlavní důvody poklesu kriminality, registrovaná kriminalita, kriminalita dle teritorií územních obvodů, vývoj kriminality v MSK, kategorie, druhy kriminality, objasněnost, recidiva, kriminalita na území města Ostravy, počet a typy trestných činů na území Ostravy, rizikové faktory zvyšování trestné činnosti, pachatelé, stíhané děti, mladiství, recidivisté, oběti, rizikové jevy působící na děti a mládež, srovnání kriminality v ČR a v jiných zemích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Syndrom CAN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Resilience, kriminalita páchaná na dětech, CAN syndrom, základní postup pracovníků OSPOD v případě syndromu CAN, ohrožování výchovy dětí, domácí násilí, děti jako osoby násilné.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Závěr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Stručné shrnutí tématu, dotazy posluchačů</w:t>
      </w:r>
    </w:p>
    <w:p w:rsidR="00000000" w:rsidDel="00000000" w:rsidP="00000000" w:rsidRDefault="00000000" w:rsidRPr="00000000" w14:paraId="00000036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</w:t>
      </w:r>
    </w:p>
    <w:p w:rsidR="00000000" w:rsidDel="00000000" w:rsidP="00000000" w:rsidRDefault="00000000" w:rsidRPr="00000000" w14:paraId="00000039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330"/>
        </w:tabs>
        <w:ind w:right="-153"/>
        <w:jc w:val="both"/>
        <w:rPr>
          <w:b w:val="1"/>
          <w:color w:val="00b0f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</w:t>
      </w:r>
      <w:r w:rsidDel="00000000" w:rsidR="00000000" w:rsidRPr="00000000">
        <w:rPr>
          <w:b w:val="1"/>
          <w:color w:val="00b0f0"/>
          <w:rtl w:val="0"/>
        </w:rPr>
        <w:t xml:space="preserve">  </w:t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3E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účet č. 5000500032/5500 Raiffeisen Bank</w:t>
      </w:r>
      <w:r w:rsidDel="00000000" w:rsidR="00000000" w:rsidRPr="00000000">
        <w:rPr>
          <w:sz w:val="20"/>
          <w:szCs w:val="20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