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Akreditace programů MPSV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Akreditovaná vzdělávací instituce MVČR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A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40" w:before="840" w:line="240" w:lineRule="auto"/>
        <w:ind w:right="72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before="40" w:line="240" w:lineRule="auto"/>
        <w:ind w:left="720" w:right="720" w:firstLine="0"/>
        <w:jc w:val="center"/>
        <w:rPr>
          <w:rFonts w:ascii="Times New Roman" w:cs="Times New Roman" w:eastAsia="Times New Roman" w:hAnsi="Times New Roman"/>
          <w:b w:val="1"/>
          <w:color w:val="4472c4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36"/>
          <w:szCs w:val="36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color w:val="4472c4"/>
          <w:sz w:val="36"/>
          <w:szCs w:val="36"/>
          <w:rtl w:val="0"/>
        </w:rPr>
        <w:t xml:space="preserve">Odvolání a námitky (příspěvek na péči, kompenzační pomůcky, průkazky a invalidní důchod) pro pracovníky sociálních služeb a pracovníky sociálních odborů na obci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36"/>
          <w:szCs w:val="36"/>
          <w:rtl w:val="0"/>
        </w:rPr>
        <w:t xml:space="preserve">“ </w:t>
      </w:r>
    </w:p>
    <w:p w:rsidR="00000000" w:rsidDel="00000000" w:rsidP="00000000" w:rsidRDefault="00000000" w:rsidRPr="00000000" w14:paraId="00000012">
      <w:pPr>
        <w:spacing w:after="360" w:before="40" w:line="240" w:lineRule="auto"/>
        <w:ind w:right="72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color w:val="44546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i w:val="0"/>
          <w:color w:val="7030a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Akreditace MPSV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:</w:t>
      </w:r>
      <w:r w:rsidDel="00000000" w:rsidR="00000000" w:rsidRPr="00000000">
        <w:rPr>
          <w:color w:val="7030a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„</w:t>
      </w:r>
      <w:r w:rsidDel="00000000" w:rsidR="00000000" w:rsidRPr="00000000">
        <w:rPr>
          <w:color w:val="7030a0"/>
          <w:rtl w:val="0"/>
        </w:rPr>
        <w:t xml:space="preserve">Odvolání a námitky (příspěvek na péči, kompenzační pomůcky, průkazky a invalidní důchod) pro pracovníky sociálních služeb a pracovníky sociálních odborů na obci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“</w:t>
      </w:r>
      <w:r w:rsidDel="00000000" w:rsidR="00000000" w:rsidRPr="00000000">
        <w:rPr>
          <w:b w:val="1"/>
          <w:color w:val="7030a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7030a0"/>
          <w:rtl w:val="0"/>
        </w:rPr>
        <w:t xml:space="preserve">A2023/0318-SP/VP</w:t>
      </w:r>
      <w:r w:rsidDel="00000000" w:rsidR="00000000" w:rsidRPr="00000000">
        <w:rPr>
          <w:rFonts w:ascii="Arial" w:cs="Arial" w:eastAsia="Arial" w:hAnsi="Arial"/>
          <w:i w:val="1"/>
          <w:color w:val="7030a0"/>
          <w:rtl w:val="0"/>
        </w:rPr>
        <w:t xml:space="preserve"> (8. hodin)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akreditace MVČR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(program vypracovaný dle zákona č. 312/2002 Sb., o úřednících ÚSC v aktuálním znění. (8 hodin)) Akreditace vzdělávací instituce AK/I-53/2017 (videokurz)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4472c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513"/>
        <w:gridCol w:w="7195"/>
        <w:tblGridChange w:id="0">
          <w:tblGrid>
            <w:gridCol w:w="3513"/>
            <w:gridCol w:w="719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Poppins" w:cs="Poppins" w:eastAsia="Poppins" w:hAnsi="Poppins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Odvolání a námitky (příspěvek na péči, kompenzační pomůcky, průkazky a invalidní důchod) pro pracovníky sociálních služeb a pracovníky sociálních odborů na obci 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(videokurz)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hd w:fill="ffffff" w:val="clear"/>
              <w:spacing w:after="0" w:before="40" w:line="240" w:lineRule="auto"/>
              <w:ind w:right="72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0080"/>
                <w:sz w:val="20"/>
                <w:szCs w:val="20"/>
                <w:rtl w:val="0"/>
              </w:rPr>
              <w:t xml:space="preserve">MPSV: A2023/0318-SP/VP (8. hodin) kombinovaná forma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33399"/>
                <w:sz w:val="20"/>
                <w:szCs w:val="20"/>
                <w:rtl w:val="0"/>
              </w:rPr>
              <w:t xml:space="preserve">MVČR: </w:t>
            </w:r>
            <w:r w:rsidDel="00000000" w:rsidR="00000000" w:rsidRPr="00000000">
              <w:rPr>
                <w:b w:val="1"/>
                <w:color w:val="333399"/>
                <w:sz w:val="20"/>
                <w:szCs w:val="20"/>
                <w:rtl w:val="0"/>
              </w:rPr>
              <w:t xml:space="preserve">(program vypracovaný dle zákona č. 312/2002 Sb., o úřednících ÚSC v aktuálním znění. (8 hodin)) Akreditace vzdělávací instituce AK/I-53/2017 (videokurz)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202502001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Mgr. Radka Pešlová: o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dborný lektor výkonu veřejné opatrovnictví a sociálních témat, dříve výuka na Masarykově Univerzitě v Brně, Karlově Universitě, Pedagogická fakulta M. D. Rettigové Praha; Právník a poradce Moravskoslezský kruh, projekt Pečujeme doma (dříve též Diakonie projekt Pečuj doma); v minulosti vyučující na Zkouškách odborné způsobilosti pro výkon Veřejného opatrovnictví.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20.02. 2025 (čtvrtek) od 8,00 hod.</w:t>
            </w: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(prezence od 7,30hod – 8,00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ON-LINE ZOOM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1 890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59595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sz w:val="24"/>
          <w:szCs w:val="24"/>
          <w:rtl w:val="0"/>
        </w:rPr>
        <w:t xml:space="preserve">OBSAH:</w:t>
      </w:r>
      <w:r w:rsidDel="00000000" w:rsidR="00000000" w:rsidRPr="00000000">
        <w:rPr>
          <w:rFonts w:ascii="Arial" w:cs="Arial" w:eastAsia="Arial" w:hAnsi="Arial"/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40" w:lineRule="auto"/>
        <w:ind w:left="1440" w:hanging="360"/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Úvod: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představení lektora účastníkům. Vymezení legislativního rámce. Vysvětlení pojmů.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1440" w:hanging="360"/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Správní řád: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základní seznámení se základními zásadami správního řízení (především zjištění stavu, o němž nejsou důvodné pochybnosti), doručování a běh lhůt, průběh a pravidla jednání, náležitosti rozhodnutí a jeho přezkoumatelnost (jak v něm číst), možnosti opravných prostředků.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40" w:lineRule="auto"/>
        <w:ind w:left="1440" w:hanging="360"/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Základní náležitosti námitky a odvolání: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námitkové a odvolací řízení, základní náležitosti (společné pro všechny dávky): náležitosti, příslušnost, oprávněná osoba (žadatel/odvolávající se/zastoupení), tvrdím-dokazuji (forma důkazů), koncentrace řízení, předpisy ovlivňující postup správního orgánu.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1440" w:hanging="360"/>
        <w:rPr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Důchod (především invalidní):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námitkové řízení krok za krokem (posudková kritéria-vliv diagnózy na pracovní schopnost, datum vzniku invalidity, jak dokázat, co tvrdím, nahlížení do spisu).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40" w:lineRule="auto"/>
        <w:ind w:left="1440" w:hanging="360"/>
        <w:rPr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Příspěvek na péči: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odvolací řízení krok za krokem (posudková kritéria-zvládání životních potřeb, podklad v sociálním šetření a v lékařských zprávách, nahlížení do spisu, jaké jsou možné důkazy, k prokázání svého tvrzení, odlišnost od invalidního důchodu).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left="1440" w:hanging="360"/>
        <w:rPr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Průkazka osoby se zdravotním postižením, kompenzační pomůcky: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odvolací řízení krok za krokem (posudková kritéria-diagnózy, nahlížení do spisu, podkladová dokumentace, čím se liší dokazování od řízení u příspěvku na péči a o invalidním důchodu). Další možné řešení nespokojenosti (ostatní nápravná opatření.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40" w:lineRule="auto"/>
        <w:ind w:left="1440" w:hanging="360"/>
        <w:rPr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Závěr: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závěrečné otázky, krátká diskuse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40" w:line="240" w:lineRule="auto"/>
        <w:ind w:right="720"/>
        <w:rPr>
          <w:i w:val="1"/>
          <w:color w:val="00b0f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40" w:line="240" w:lineRule="auto"/>
        <w:ind w:right="720"/>
        <w:rPr>
          <w:i w:val="1"/>
          <w:color w:val="00b0f0"/>
          <w:sz w:val="20"/>
          <w:szCs w:val="20"/>
        </w:rPr>
      </w:pPr>
      <w:r w:rsidDel="00000000" w:rsidR="00000000" w:rsidRPr="00000000">
        <w:rPr>
          <w:i w:val="1"/>
          <w:color w:val="00b0f0"/>
          <w:sz w:val="20"/>
          <w:szCs w:val="20"/>
          <w:rtl w:val="0"/>
        </w:rPr>
        <w:t xml:space="preserve">Součástí ceny je osvědčení o absolvování semináře, materiály k tématu v elektronické podobě. </w:t>
      </w:r>
    </w:p>
    <w:p w:rsidR="00000000" w:rsidDel="00000000" w:rsidP="00000000" w:rsidRDefault="00000000" w:rsidRPr="00000000" w14:paraId="00000034">
      <w:pPr>
        <w:spacing w:after="0" w:before="40" w:line="240" w:lineRule="auto"/>
        <w:ind w:right="720"/>
        <w:rPr>
          <w:i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Jak se přihlásit: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40" w:line="240" w:lineRule="auto"/>
        <w:ind w:right="-153"/>
        <w:rPr>
          <w:b w:val="1"/>
          <w:color w:val="595959"/>
          <w:sz w:val="20"/>
          <w:szCs w:val="20"/>
        </w:rPr>
      </w:pPr>
      <w:r w:rsidDel="00000000" w:rsidR="00000000" w:rsidRPr="00000000">
        <w:rPr>
          <w:color w:val="595959"/>
          <w:sz w:val="20"/>
          <w:szCs w:val="20"/>
          <w:rtl w:val="0"/>
        </w:rPr>
        <w:t xml:space="preserve">Zaplaťte účastnický poplatek a vyplňte přihlašovací formulář, prostřednictvím našich webových stránek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www.topseminare.cz</w:t>
        </w:r>
      </w:hyperlink>
      <w:r w:rsidDel="00000000" w:rsidR="00000000" w:rsidRPr="00000000">
        <w:rPr>
          <w:color w:val="595959"/>
          <w:sz w:val="20"/>
          <w:szCs w:val="20"/>
          <w:rtl w:val="0"/>
        </w:rPr>
        <w:t xml:space="preserve"> .</w:t>
      </w:r>
      <w:r w:rsidDel="00000000" w:rsidR="00000000" w:rsidRPr="00000000">
        <w:rPr>
          <w:b w:val="1"/>
          <w:color w:val="595959"/>
          <w:sz w:val="20"/>
          <w:szCs w:val="20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color w:val="595959"/>
          <w:sz w:val="20"/>
          <w:szCs w:val="20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b w:val="1"/>
          <w:color w:val="595959"/>
          <w:sz w:val="20"/>
          <w:szCs w:val="20"/>
          <w:rtl w:val="0"/>
        </w:rPr>
        <w:t xml:space="preserve">Ve lhůtě tři dny a méně před konáním akce není možné zrušit účast na semináři. Kdykoli je možné nahlásit náhradníka na </w:t>
      </w:r>
      <w:hyperlink r:id="rId9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info@topseminare.cz</w:t>
        </w:r>
      </w:hyperlink>
      <w:r w:rsidDel="00000000" w:rsidR="00000000" w:rsidRPr="00000000">
        <w:rPr>
          <w:b w:val="1"/>
          <w:color w:val="595959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spacing w:after="0" w:before="40" w:line="240" w:lineRule="auto"/>
        <w:ind w:left="720" w:right="-153" w:firstLine="0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40" w:line="240" w:lineRule="auto"/>
        <w:ind w:right="-153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38">
      <w:pPr>
        <w:spacing w:after="0" w:before="40" w:line="240" w:lineRule="auto"/>
        <w:ind w:right="-11"/>
        <w:jc w:val="both"/>
        <w:rPr>
          <w:color w:val="595959"/>
          <w:sz w:val="20"/>
          <w:szCs w:val="20"/>
        </w:rPr>
      </w:pPr>
      <w:r w:rsidDel="00000000" w:rsidR="00000000" w:rsidRPr="00000000">
        <w:rPr>
          <w:color w:val="595959"/>
          <w:sz w:val="20"/>
          <w:szCs w:val="20"/>
          <w:rtl w:val="0"/>
        </w:rPr>
        <w:t xml:space="preserve">Úhradu semináře proveďte na náš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účet č. 5000500032/5500 Raiffeisen Bank</w:t>
      </w:r>
      <w:r w:rsidDel="00000000" w:rsidR="00000000" w:rsidRPr="00000000">
        <w:rPr>
          <w:color w:val="595959"/>
          <w:sz w:val="20"/>
          <w:szCs w:val="20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:rsidR="00000000" w:rsidDel="00000000" w:rsidP="00000000" w:rsidRDefault="00000000" w:rsidRPr="00000000" w14:paraId="00000039">
      <w:pPr>
        <w:spacing w:after="0" w:before="40" w:line="240" w:lineRule="auto"/>
        <w:ind w:left="720" w:right="720" w:firstLine="0"/>
        <w:jc w:val="both"/>
        <w:rPr>
          <w:rFonts w:ascii="Arial" w:cs="Arial" w:eastAsia="Arial" w:hAnsi="Arial"/>
          <w:i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40" w:line="240" w:lineRule="auto"/>
        <w:ind w:left="720" w:right="720" w:firstLine="0"/>
        <w:jc w:val="both"/>
        <w:rPr>
          <w:rFonts w:ascii="Times New Roman" w:cs="Times New Roman" w:eastAsia="Times New Roman" w:hAnsi="Times New Roman"/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1cade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Trebuchet MS"/>
  <w:font w:name="Twentieth Century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topseminare.cz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www.topseminare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