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color w:val="4472c4"/>
          <w:sz w:val="44"/>
          <w:szCs w:val="44"/>
        </w:rPr>
      </w:pPr>
      <w:r w:rsidDel="00000000" w:rsidR="00000000" w:rsidRPr="00000000">
        <w:rPr>
          <w:b w:val="1"/>
          <w:color w:val="4472c4"/>
          <w:sz w:val="44"/>
          <w:szCs w:val="44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color w:val="4472c4"/>
          <w:sz w:val="52"/>
          <w:szCs w:val="52"/>
          <w:rtl w:val="0"/>
        </w:rPr>
        <w:t xml:space="preserve">Psychologické minimum z vývojové psychologie dětí a mladistvých pro potřeby sociální práce</w:t>
      </w:r>
      <w:r w:rsidDel="00000000" w:rsidR="00000000" w:rsidRPr="00000000">
        <w:rPr>
          <w:b w:val="1"/>
          <w:color w:val="4472c4"/>
          <w:sz w:val="44"/>
          <w:szCs w:val="44"/>
          <w:rtl w:val="0"/>
        </w:rPr>
        <w:t xml:space="preserve">“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MPSV: Psychologické minimum z vývojové psychologie dětí a mladistvých pro potřeby sociální práce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 (8. hodin) </w:t>
      </w:r>
      <w:r w:rsidDel="00000000" w:rsidR="00000000" w:rsidRPr="00000000">
        <w:rPr>
          <w:b w:val="1"/>
          <w:color w:val="7030a0"/>
          <w:rtl w:val="0"/>
        </w:rPr>
        <w:t xml:space="preserve">A2022/0521-SP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akreditace MVČR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(program vypracovaný dle zákona č. 312/2002 Sb., o úřednících ÚSC v aktuálním znění. (8 hodin)) Akreditace vzdělávací instituce AK/I-53/2017 (videokurz)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Psychologické minimum z vývojové psychologie dětí a mladistvých pro potřeby sociální práce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MPSV: </w:t>
            </w:r>
            <w:r w:rsidDel="00000000" w:rsidR="00000000" w:rsidRPr="00000000">
              <w:rPr>
                <w:rtl w:val="0"/>
              </w:rPr>
              <w:t xml:space="preserve">A2022/0521-SP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(8. vyučovacích hodin)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kombinovaná forma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MVČR: </w:t>
            </w:r>
            <w:r w:rsidDel="00000000" w:rsidR="00000000" w:rsidRPr="00000000">
              <w:rPr>
                <w:rtl w:val="0"/>
              </w:rPr>
              <w:t xml:space="preserve"> 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202501003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Mgr. Svata Janošková–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psycholog s mnohaletou praxí v oboru. Zkušená lektorka.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30.1. 2025 (čtvrtek) od 8,00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ONLINE ZOOM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1 790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Úvod</w:t>
      </w:r>
    </w:p>
    <w:p w:rsidR="00000000" w:rsidDel="00000000" w:rsidP="00000000" w:rsidRDefault="00000000" w:rsidRPr="00000000" w14:paraId="0000002F">
      <w:pPr>
        <w:shd w:fill="ffffff" w:val="clear"/>
        <w:ind w:left="1080" w:firstLine="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Představení tématu, základní pojmy.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Dětství</w:t>
      </w:r>
    </w:p>
    <w:p w:rsidR="00000000" w:rsidDel="00000000" w:rsidP="00000000" w:rsidRDefault="00000000" w:rsidRPr="00000000" w14:paraId="00000031">
      <w:pPr>
        <w:shd w:fill="ffffff" w:val="clear"/>
        <w:ind w:left="1080" w:firstLine="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Prenatální období, chování dítěte v prenatálním období, předčasně narozené dítě. Novorozenecké období, chování dítěte po narození, schopnost novorozence učit se, reflexy, rozvoj vnímání, matka. Kojenecké období, vývoj jemné a hrubé motoriky, vnímání a předřečových projevů, socializace, kognitivní vývoj. Batolecí období, rozvoj významných motorických dovedností a vývoj řeči. Kognitivní a emoční vývoj, socializace. Rodinné vztahy, primární a sekundární bonding, attachment. Ohrožení psychického vývoje dítěte v těchto obdobích. Specifika sociální práce s dětmi v těchto obdobích.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Předškolní období</w:t>
      </w:r>
    </w:p>
    <w:p w:rsidR="00000000" w:rsidDel="00000000" w:rsidP="00000000" w:rsidRDefault="00000000" w:rsidRPr="00000000" w14:paraId="00000033">
      <w:pPr>
        <w:shd w:fill="ffffff" w:val="clear"/>
        <w:ind w:left="1080" w:firstLine="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Vývoj základních schopností a dovedností, kognitivní vývoj, emoční vývoj a socializace. Rozvoj komunikačních dovedností. Vztahy s rodinou a s lidmi mimo vlastní rodinu. Vývoj dětské osobnosti a sebepojetí, vývoj genderové identity jako součást sebepojetí. Ohrožení psychického vývoje dítěte v tomto období. Specifika sociální práce s dětmi v tomto období vývoje.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Mladší školní období</w:t>
      </w:r>
    </w:p>
    <w:p w:rsidR="00000000" w:rsidDel="00000000" w:rsidP="00000000" w:rsidRDefault="00000000" w:rsidRPr="00000000" w14:paraId="00000035">
      <w:pPr>
        <w:shd w:fill="ffffff" w:val="clear"/>
        <w:ind w:left="1080" w:firstLine="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Nezbytné předpoklady pro úspěšný školní začátek, vývojový stav dítěte v době jeho vstupu do školy, nároky školy na dítě. Vývoj základních schopností a dovedností v tomto období, kognitivní vývoj, emoční vývoj a socializace. Rodina a vrstevnická skupina. Ohrožení psychického vývoje dítěte v tomto období. Specifika sociální práce s dětmi v tomto období vývoje.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Období dospívání</w:t>
      </w:r>
    </w:p>
    <w:p w:rsidR="00000000" w:rsidDel="00000000" w:rsidP="00000000" w:rsidRDefault="00000000" w:rsidRPr="00000000" w14:paraId="00000037">
      <w:pPr>
        <w:shd w:fill="ffffff" w:val="clear"/>
        <w:ind w:left="1080" w:firstLine="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Charakteristika tohoto období a jeho vymezení. Zrání mozku a jeho vliv na psychický vývoj, tělesná proměna a její význam. Sekulární akcelerace, dospívání jako samostatné životní období, hlavní psychologické charakteristiky tohoto období. Specifické vývojové problémy dospívajících v současném období. Ohrožení psychického vývoje dospívajících. Specifika sociální práce dospívajícími v tomto období vývoje.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Závěr</w:t>
      </w:r>
    </w:p>
    <w:p w:rsidR="00000000" w:rsidDel="00000000" w:rsidP="00000000" w:rsidRDefault="00000000" w:rsidRPr="00000000" w14:paraId="00000039">
      <w:pPr>
        <w:shd w:fill="ffffff" w:val="clear"/>
        <w:ind w:left="1080" w:firstLine="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Shrnutí problematiky a diskuse.</w:t>
      </w:r>
    </w:p>
    <w:p w:rsidR="00000000" w:rsidDel="00000000" w:rsidP="00000000" w:rsidRDefault="00000000" w:rsidRPr="00000000" w14:paraId="0000003A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</w:t>
      </w:r>
    </w:p>
    <w:p w:rsidR="00000000" w:rsidDel="00000000" w:rsidP="00000000" w:rsidRDefault="00000000" w:rsidRPr="00000000" w14:paraId="0000003C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semináře proveďte na náš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účet č. 5000500032/5500 Raiffeisen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40" w:line="240" w:lineRule="auto"/>
        <w:ind w:left="720" w:right="720" w:firstLine="0"/>
        <w:jc w:val="both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  <w:font w:name="Times New Roman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opseminar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