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2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22300" y="2709375"/>
                          <a:ext cx="8247380" cy="2141220"/>
                          <a:chOff x="1222300" y="2709375"/>
                          <a:chExt cx="8247375" cy="2141250"/>
                        </a:xfrm>
                      </wpg:grpSpPr>
                      <wpg:grpSp>
                        <wpg:cNvGrpSpPr/>
                        <wpg:grpSpPr>
                          <a:xfrm>
                            <a:off x="1222310" y="2709390"/>
                            <a:ext cx="8247380" cy="2141220"/>
                            <a:chOff x="-7144" y="-7144"/>
                            <a:chExt cx="6005513" cy="1924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144" y="-7144"/>
                              <a:ext cx="6005500" cy="192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121694" y="-7144"/>
                              <a:ext cx="3876675" cy="1762125"/>
                            </a:xfrm>
                            <a:custGeom>
                              <a:rect b="b" l="l" r="r" t="t"/>
                              <a:pathLst>
                                <a:path extrusionOk="0" h="1762125" w="3876675">
                                  <a:moveTo>
                                    <a:pt x="3869531" y="1359694"/>
                                  </a:moveTo>
                                  <a:cubicBezTo>
                                    <a:pt x="3869531" y="1359694"/>
                                    <a:pt x="3379946" y="1834039"/>
                                    <a:pt x="2359819" y="1744504"/>
                                  </a:cubicBezTo>
                                  <a:cubicBezTo>
                                    <a:pt x="1339691" y="1654969"/>
                                    <a:pt x="936784" y="1180624"/>
                                    <a:pt x="7144" y="1287304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3869531" y="7144"/>
                                  </a:lnTo>
                                  <a:lnTo>
                                    <a:pt x="3869531" y="1359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83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-7144" y="-7144"/>
                              <a:ext cx="6000750" cy="1924050"/>
                            </a:xfrm>
                            <a:custGeom>
                              <a:rect b="b" l="l" r="r" t="t"/>
                              <a:pathLst>
                                <a:path extrusionOk="0" h="1924050" w="6000750">
                                  <a:moveTo>
                                    <a:pt x="7144" y="1699736"/>
                                  </a:moveTo>
                                  <a:cubicBezTo>
                                    <a:pt x="7144" y="1699736"/>
                                    <a:pt x="1410176" y="2317909"/>
                                    <a:pt x="2934176" y="1484471"/>
                                  </a:cubicBezTo>
                                  <a:cubicBezTo>
                                    <a:pt x="4459129" y="651986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1699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DE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7144" y="-7144"/>
                              <a:ext cx="6000750" cy="904875"/>
                            </a:xfrm>
                            <a:custGeom>
                              <a:rect b="b" l="l" r="r" t="t"/>
                              <a:pathLst>
                                <a:path extrusionOk="0" h="904875" w="6000750">
                                  <a:moveTo>
                                    <a:pt x="7144" y="7144"/>
                                  </a:moveTo>
                                  <a:lnTo>
                                    <a:pt x="7144" y="613886"/>
                                  </a:lnTo>
                                  <a:cubicBezTo>
                                    <a:pt x="647224" y="1034891"/>
                                    <a:pt x="2136934" y="964406"/>
                                    <a:pt x="3546634" y="574834"/>
                                  </a:cubicBezTo>
                                  <a:cubicBezTo>
                                    <a:pt x="4882039" y="205264"/>
                                    <a:pt x="5998369" y="893921"/>
                                    <a:pt x="5998369" y="893921"/>
                                  </a:cubicBezTo>
                                  <a:lnTo>
                                    <a:pt x="5998369" y="714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1CADE4"/>
                                </a:gs>
                                <a:gs pos="100000">
                                  <a:srgbClr val="76CEEF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6111" y="924401"/>
                              <a:ext cx="2819400" cy="828675"/>
                            </a:xfrm>
                            <a:custGeom>
                              <a:rect b="b" l="l" r="r" t="t"/>
                              <a:pathLst>
                                <a:path extrusionOk="0" h="828675" w="2819400">
                                  <a:moveTo>
                                    <a:pt x="7144" y="481489"/>
                                  </a:moveTo>
                                  <a:cubicBezTo>
                                    <a:pt x="380524" y="602456"/>
                                    <a:pt x="751999" y="764381"/>
                                    <a:pt x="1305401" y="812959"/>
                                  </a:cubicBezTo>
                                  <a:cubicBezTo>
                                    <a:pt x="2325529" y="902494"/>
                                    <a:pt x="2815114" y="428149"/>
                                    <a:pt x="2815114" y="428149"/>
                                  </a:cubicBezTo>
                                  <a:lnTo>
                                    <a:pt x="2815114" y="7144"/>
                                  </a:lnTo>
                                  <a:cubicBezTo>
                                    <a:pt x="2332196" y="236696"/>
                                    <a:pt x="1376839" y="568166"/>
                                    <a:pt x="7144" y="481489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2683C6"/>
                                </a:gs>
                                <a:gs pos="100000">
                                  <a:srgbClr val="1C6294"/>
                                </a:gs>
                              </a:gsLst>
                              <a:lin ang="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8247380" cy="21412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7380" cy="2141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90.0" w:type="dxa"/>
        <w:jc w:val="center"/>
        <w:tblLayout w:type="fixed"/>
        <w:tblLook w:val="06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right="720"/>
              <w:rPr>
                <w:rFonts w:ascii="Twentieth Century" w:cs="Twentieth Century" w:eastAsia="Twentieth Century" w:hAnsi="Twentieth Century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spacing w:after="0" w:before="40" w:line="240" w:lineRule="auto"/>
              <w:ind w:right="72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TOP Semináře s.r.o.,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Vzdělávací agentura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Akreditace programů MPSV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Akreditovaná vzdělávací instituce MVČR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25"/>
                <w:tab w:val="left" w:leader="none" w:pos="1800"/>
                <w:tab w:val="center" w:leader="none" w:pos="5097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Zátiší 476/12, Ostrava – Svinov, 721 00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7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800"/>
              </w:tabs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IČ: 06546897 </w:t>
            </w:r>
          </w:p>
          <w:p w:rsidR="00000000" w:rsidDel="00000000" w:rsidP="00000000" w:rsidRDefault="00000000" w:rsidRPr="00000000" w14:paraId="00000009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Mobil:602 707 481, E-mail: info@topseminare.cz</w:t>
            </w:r>
          </w:p>
          <w:p w:rsidR="00000000" w:rsidDel="00000000" w:rsidP="00000000" w:rsidRDefault="00000000" w:rsidRPr="00000000" w14:paraId="0000000A">
            <w:pPr>
              <w:spacing w:after="0" w:before="40" w:line="240" w:lineRule="auto"/>
              <w:ind w:left="720" w:righ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více informací na: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www.topseminare.cz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right="720" w:firstLine="0"/>
              <w:rPr>
                <w:rFonts w:ascii="Twentieth Century" w:cs="Twentieth Century" w:eastAsia="Twentieth Century" w:hAnsi="Twentieth Centur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8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sz w:val="20"/>
          <w:szCs w:val="20"/>
          <w:rtl w:val="0"/>
        </w:rPr>
        <w:t xml:space="preserve">si Vás dovolujeme pozvat na seminář</w:t>
      </w:r>
    </w:p>
    <w:p w:rsidR="00000000" w:rsidDel="00000000" w:rsidP="00000000" w:rsidRDefault="00000000" w:rsidRPr="00000000" w14:paraId="0000000F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b w:val="1"/>
          <w:color w:val="59595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800"/>
        </w:tabs>
        <w:spacing w:after="0" w:before="40" w:line="240" w:lineRule="auto"/>
        <w:ind w:left="720" w:right="720" w:firstLine="0"/>
        <w:jc w:val="center"/>
        <w:rPr>
          <w:rFonts w:ascii="Arial" w:cs="Arial" w:eastAsia="Arial" w:hAnsi="Arial"/>
          <w:color w:val="3366f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4"/>
          <w:szCs w:val="4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4472c4"/>
          <w:sz w:val="56"/>
          <w:szCs w:val="56"/>
          <w:u w:val="none"/>
          <w:shd w:fill="auto" w:val="clear"/>
          <w:vertAlign w:val="baseline"/>
          <w:rtl w:val="0"/>
        </w:rPr>
        <w:t xml:space="preserve">Základy sociální komunikace v pomáhajících profesích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44"/>
          <w:szCs w:val="44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akreditace MPSV ČR: </w:t>
      </w:r>
      <w:r w:rsidDel="00000000" w:rsidR="00000000" w:rsidRPr="00000000">
        <w:rPr>
          <w:color w:val="7030a0"/>
          <w:rtl w:val="0"/>
        </w:rPr>
        <w:t xml:space="preserve">Základy sociální komunikace v pomáhajících profesích 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č.: </w:t>
      </w:r>
      <w:r w:rsidDel="00000000" w:rsidR="00000000" w:rsidRPr="00000000">
        <w:rPr>
          <w:b w:val="1"/>
          <w:color w:val="7030a0"/>
          <w:rtl w:val="0"/>
        </w:rPr>
        <w:t xml:space="preserve">A2023/0470-SP/PC</w:t>
      </w:r>
      <w:r w:rsidDel="00000000" w:rsidR="00000000" w:rsidRPr="00000000">
        <w:rPr>
          <w:rFonts w:ascii="Arial" w:cs="Arial" w:eastAsia="Arial" w:hAnsi="Arial"/>
          <w:color w:val="7030a0"/>
          <w:rtl w:val="0"/>
        </w:rPr>
        <w:t xml:space="preserve"> (7. vyučovacích hodin)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rtl w:val="0"/>
        </w:rPr>
        <w:t xml:space="preserve">akreditace MVČR: </w:t>
      </w:r>
      <w:r w:rsidDel="00000000" w:rsidR="00000000" w:rsidRPr="00000000">
        <w:rPr>
          <w:color w:val="4472c4"/>
          <w:rtl w:val="0"/>
        </w:rPr>
        <w:t xml:space="preserve">(program vypracovaný dle zákona č. 312/2002 Sb., o úřednících ÚSC v aktuálním znění. (8 hodin)) Akreditace vzdělávací instituce AK/I-53/2017 (videokurz)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8.0" w:type="dxa"/>
        <w:jc w:val="left"/>
        <w:tblInd w:w="15.0" w:type="dxa"/>
        <w:tblLayout w:type="fixed"/>
        <w:tblLook w:val="0400"/>
      </w:tblPr>
      <w:tblGrid>
        <w:gridCol w:w="3513"/>
        <w:gridCol w:w="7195"/>
        <w:tblGridChange w:id="0">
          <w:tblGrid>
            <w:gridCol w:w="3513"/>
            <w:gridCol w:w="7195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00a4de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Základy sociální komunikace v pomáhajících profesích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Akreditace: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MPSV: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A2023/0470-/PC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(7. vyučovacích hodin)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kombinovaná forma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MVČR: </w:t>
            </w:r>
            <w:r w:rsidDel="00000000" w:rsidR="00000000" w:rsidRPr="00000000">
              <w:rPr>
                <w:rtl w:val="0"/>
              </w:rPr>
              <w:t xml:space="preserve">(program vypracovaný dle zákona č. 312/2002 Sb., o úřednících ÚSC v aktuálním znění. (8 hodin)) Akreditace vzdělávací instituce AK/I-53/2017 (videokurz)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Variabilní symbol: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202502004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Přednáší: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Mgr. Katarína Dubělčíková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(odborník v oblasti rodinné mediace, případových konferencí-facilitace, sociálního poradenství, zkušená lektorka)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Termín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18.2. 2025 (úterý) od 8,00 hod.</w:t>
            </w:r>
            <w:r w:rsidDel="00000000" w:rsidR="00000000" w:rsidRPr="00000000">
              <w:rPr>
                <w:color w:val="00206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(prezence od 7,30hod – 8,00 hod.)</w:t>
              <w:br w:type="textWrapping"/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Místo konání: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ON-LINE ZOOM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Cena: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00000"/>
                <w:sz w:val="24"/>
                <w:szCs w:val="24"/>
                <w:rtl w:val="0"/>
              </w:rPr>
              <w:t xml:space="preserve">1 790 Kč / osoba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4"/>
                <w:szCs w:val="24"/>
                <w:rtl w:val="0"/>
              </w:rPr>
              <w:t xml:space="preserve">Organizace: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TOP. Semináře s.r.o.  IČ: 06546897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0195"/>
        </w:tabs>
        <w:spacing w:after="0" w:before="40" w:line="240" w:lineRule="auto"/>
        <w:ind w:right="-11"/>
        <w:jc w:val="both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OBSAH:</w:t>
      </w:r>
      <w:r w:rsidDel="00000000" w:rsidR="00000000" w:rsidRPr="00000000">
        <w:rPr>
          <w:rFonts w:ascii="Arial" w:cs="Arial" w:eastAsia="Arial" w:hAnsi="Arial"/>
          <w:color w:val="595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pojmy, vstupní informace k průběhu semináře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je mediace, kdo je mediátor, co je to konflikt: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mediace a její principy a cíle. Vhodnost mediace a její výhody. Předpoklady úspěchu mediace. Druhy mediace a oblasti, kde se mediace používá. Směry v mediaci. Role a úkoly mediátora.  Mediátor-kvalifikační předpoklady pro výkon činnosti zapsaného mediátora. Konflikt: charakteristika, vývoj a dělení konfliktů. Styly řešení konfliktů. vyjednávání v mediaci.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 mediace a jeho jednotlivé fáze: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 mediace: příprava na mediaci, zahájení mediace, sběr informací, definice témat, hledání možností formulace výsledků. Realizace výsledků a jejich korekce. Mediační dohoda.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Dovednosti mediátora a možnosti jejich využití v sociální práci: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práce s flipchartovou tabulí, pozice a zájem, neutrální jazyk v mediaci, brainstorming, Přeformulování stížnosti na potřebu, hledání předmětu jednání. Techniky aktivního naslouchání. Ledolamka, batna, práce v mediátorské dvojici, oddělené jednání. Příklady použití většiny těchto dovedností při sociální práci s individuálním klientem, s párem a rovněž s rodinou. Využití mediačních dovedností v rámci případových konferencí.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shrnutí odpřednášené problematiky, diskuse</w:t>
      </w:r>
    </w:p>
    <w:p w:rsidR="00000000" w:rsidDel="00000000" w:rsidP="00000000" w:rsidRDefault="00000000" w:rsidRPr="00000000" w14:paraId="00000030">
      <w:pPr>
        <w:spacing w:after="0" w:before="40" w:line="240" w:lineRule="auto"/>
        <w:ind w:right="720"/>
        <w:jc w:val="both"/>
        <w:rPr>
          <w:rFonts w:ascii="Times New Roman" w:cs="Times New Roman" w:eastAsia="Times New Roman" w:hAnsi="Times New Roman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  <w:rtl w:val="0"/>
        </w:rPr>
        <w:t xml:space="preserve">Součástí ceny je osvědčení o absolvování semináře, materiály k tématu v elektronické podobě.</w:t>
      </w:r>
    </w:p>
    <w:p w:rsidR="00000000" w:rsidDel="00000000" w:rsidP="00000000" w:rsidRDefault="00000000" w:rsidRPr="00000000" w14:paraId="00000032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330"/>
        </w:tabs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Jak se přihlásit:  </w:t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3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Zaplaťte účastnický poplatek a vyplňte přihlašovací formulář, prostřednictvím našich webových stránek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www.topseminare.cz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Úředníci ÚSC mohou realizovat platbu za seminář až po obdržení faktury po semináři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Nejasnosti a dotazy rádi vyřídíme telefonicky či emailem (kontakty viz výše nebo na webových stránkách).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lhůtě tři dny a méně před konáním akce není možné zrušit účast na semináři. Kdykoli je možné nahlásit náhradníka na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info@topseminare.cz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153"/>
        <w:jc w:val="both"/>
        <w:rPr>
          <w:b w:val="1"/>
          <w:color w:val="00b0f0"/>
          <w:sz w:val="20"/>
          <w:szCs w:val="20"/>
        </w:rPr>
      </w:pPr>
      <w:r w:rsidDel="00000000" w:rsidR="00000000" w:rsidRPr="00000000">
        <w:rPr>
          <w:b w:val="1"/>
          <w:color w:val="00b0f0"/>
          <w:sz w:val="20"/>
          <w:szCs w:val="20"/>
          <w:rtl w:val="0"/>
        </w:rPr>
        <w:t xml:space="preserve">Zaplacení a smluvní podmínky: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semináře proveďte na náš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účet č. 5000500032/5500 Raiffeisen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neopomeňte uvést správný variabilní symbol. Daňový doklad obdrží účastníci v den konání semináře. V případě neúčasti se vložné nevrací, ale je možné poslat náhradníka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40" w:line="240" w:lineRule="auto"/>
        <w:ind w:left="720" w:right="720" w:firstLine="0"/>
        <w:jc w:val="both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60" w:before="40" w:line="240" w:lineRule="auto"/>
        <w:ind w:left="720" w:right="720" w:firstLine="0"/>
        <w:rPr>
          <w:rFonts w:ascii="Twentieth Century" w:cs="Twentieth Century" w:eastAsia="Twentieth Century" w:hAnsi="Twentieth Century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40" w:line="240" w:lineRule="auto"/>
        <w:ind w:left="720" w:right="720" w:firstLine="0"/>
        <w:rPr>
          <w:rFonts w:ascii="Twentieth Century" w:cs="Twentieth Century" w:eastAsia="Twentieth Century" w:hAnsi="Twentieth Century"/>
          <w:b w:val="1"/>
          <w:color w:val="1cade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Trebuchet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topseminare.cz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opseminar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