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 a MV ČR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4"/>
          <w:szCs w:val="44"/>
          <w:u w:val="none"/>
          <w:shd w:fill="auto" w:val="clear"/>
          <w:vertAlign w:val="baseline"/>
          <w:rtl w:val="0"/>
        </w:rPr>
        <w:t xml:space="preserve">„Styk dítěte v pěstounské péči, v ústavní výchově, a v zařízeních pro děti vyžadující okamžitou pomoc s biologickým rodičem-základní informace“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mo" w:cs="Arimo" w:eastAsia="Arimo" w:hAnsi="Arimo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Styk dítěte v pěstounské péči, v ústavní výchově, a v zařízeních pro děti vyžadující okamžitou pomoc s biologickým rodičem-základní informace.  Akreditace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požádáno o novou akreditaci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(8. hodin)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Styk dítěte v pěstounské péči, v ústavní výchově, a v zařízeních pro děti vyžadující okamžitou pomoc s biologickým rodičem-základní informace, Akreditace č.: AK/PV-301/2024 (8. hodin)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985"/>
        <w:gridCol w:w="6723"/>
        <w:tblGridChange w:id="0">
          <w:tblGrid>
            <w:gridCol w:w="3985"/>
            <w:gridCol w:w="6723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Styk dítěte v pěstounské péči, v ústavní výchově, a v zařízeních pro děti vyžadující okamžitou pomoc s biologickým rodičem-základní informace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</w:t>
            </w:r>
            <w:r w:rsidDel="00000000" w:rsidR="00000000" w:rsidRPr="00000000">
              <w:rPr>
                <w:b w:val="1"/>
                <w:color w:val="7030a0"/>
                <w:rtl w:val="0"/>
              </w:rPr>
              <w:t xml:space="preserve"> A2025/0018-SP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rFonts w:ascii="Arial" w:cs="Arial" w:eastAsia="Arial" w:hAnsi="Arial"/>
                <w:color w:val="4472c4"/>
                <w:rtl w:val="0"/>
              </w:rPr>
              <w:t xml:space="preserve">AK/PV-301/2024 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(8. hodin) prezenční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202510038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white"/>
                <w:rtl w:val="0"/>
              </w:rPr>
              <w:t xml:space="preserve">Mgr. et Mgr. Martin Doležal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, SWE (Social Work England), člen Profesní komory sociálně-právní ochrany dětí (PKSPOD)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16.10. 2025 (čtvrtek) od 9.00,00 hod.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3366ff"/>
                  <w:sz w:val="24"/>
                  <w:szCs w:val="24"/>
                  <w:u w:val="single"/>
                  <w:rtl w:val="0"/>
                </w:rPr>
                <w:t xml:space="preserve">Hotel SAREZA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– sál za recepcí, </w:t>
            </w: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Čkalovova 6144/18, 70800, Ostrava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Úvod</w:t>
      </w:r>
    </w:p>
    <w:p w:rsidR="00000000" w:rsidDel="00000000" w:rsidP="00000000" w:rsidRDefault="00000000" w:rsidRPr="00000000" w14:paraId="0000002B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Představení tématu, základní pojmy.</w:t>
      </w:r>
    </w:p>
    <w:p w:rsidR="00000000" w:rsidDel="00000000" w:rsidP="00000000" w:rsidRDefault="00000000" w:rsidRPr="00000000" w14:paraId="0000002C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Vstup do problematiky mezinárodních dokumentů vztahujících a se k problematice styku dítěte s biologickým rodičem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Úmluva o právech dítěte a judikatura Evropského soudu pro lidská práva (ESLP) v otázce styku dítěte s biologickým rodičem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Občanský zákoník a judikatura soudů v otázce styku dítěte s biologickým rodičem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Asistovaný styk s dítětem</w:t>
      </w:r>
    </w:p>
    <w:p w:rsidR="00000000" w:rsidDel="00000000" w:rsidP="00000000" w:rsidRDefault="00000000" w:rsidRPr="00000000" w14:paraId="00000031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pěstounské péči s biologickým rodičem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pěstounů ze zákona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pověřené osoby a standardy kvality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Styk dítěte s rodičem ve výkonu trestu odnětí svobody</w:t>
      </w:r>
    </w:p>
    <w:p w:rsidR="00000000" w:rsidDel="00000000" w:rsidP="00000000" w:rsidRDefault="00000000" w:rsidRPr="00000000" w14:paraId="00000036">
      <w:pPr>
        <w:shd w:fill="ffffff" w:val="clear"/>
        <w:ind w:left="216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ústavní výchově s biologickým rodičem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Principy, za kterých probíhá pobyt dítěte v ústavní výchově ve vztahu ke kontaktu dítěte s biologickým rodičem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ústavního zařízení a standardy kvality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spacing w:after="0" w:line="240" w:lineRule="auto"/>
        <w:ind w:left="216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 OSPOD</w:t>
      </w:r>
    </w:p>
    <w:p w:rsidR="00000000" w:rsidDel="00000000" w:rsidP="00000000" w:rsidRDefault="00000000" w:rsidRPr="00000000" w14:paraId="0000003B">
      <w:pPr>
        <w:shd w:fill="ffffff" w:val="clear"/>
        <w:ind w:left="2160" w:firstLine="0"/>
        <w:jc w:val="both"/>
        <w:rPr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Styk dítěte v zařízeních pro děti vyžadující okamžitou pomoc s biologickým rodičem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288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Povinnosti zařízení pro děti vyžadující okamžitou pomoc a standardy      kvality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2880" w:hanging="36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Povinnost OSPOD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0" w:line="240" w:lineRule="auto"/>
        <w:ind w:left="1440" w:hanging="360"/>
        <w:jc w:val="both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Závěr</w:t>
      </w:r>
    </w:p>
    <w:p w:rsidR="00000000" w:rsidDel="00000000" w:rsidP="00000000" w:rsidRDefault="00000000" w:rsidRPr="00000000" w14:paraId="00000040">
      <w:pPr>
        <w:shd w:fill="ffffff" w:val="clear"/>
        <w:ind w:left="1440" w:firstLine="0"/>
        <w:jc w:val="both"/>
        <w:rPr>
          <w:color w:val="4472c4"/>
        </w:rPr>
      </w:pPr>
      <w:r w:rsidDel="00000000" w:rsidR="00000000" w:rsidRPr="00000000">
        <w:rPr>
          <w:color w:val="4472c4"/>
          <w:rtl w:val="0"/>
        </w:rPr>
        <w:t xml:space="preserve">Souhrn problematiky, dotazy posluchačů</w:t>
      </w:r>
    </w:p>
    <w:p w:rsidR="00000000" w:rsidDel="00000000" w:rsidP="00000000" w:rsidRDefault="00000000" w:rsidRPr="00000000" w14:paraId="00000041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43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fo@topseminare.cz" TargetMode="External"/><Relationship Id="rId10" Type="http://schemas.openxmlformats.org/officeDocument/2006/relationships/hyperlink" Target="http://www.topseminare.cz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GTveVbE4FuDnvha27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sareza.cz/sarezahote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