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4DA0634" w14:textId="77777777" w:rsidR="00865CA4" w:rsidRPr="00865CA4" w:rsidRDefault="00865CA4" w:rsidP="00865CA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5CA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22FBD1D4" w:rsidR="007C6CBC" w:rsidRPr="007C6CBC" w:rsidRDefault="00865CA4" w:rsidP="00865CA4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5CA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6CDD28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CB92962" w14:textId="77777777" w:rsidR="0039433B" w:rsidRPr="0039433B" w:rsidRDefault="0039433B" w:rsidP="0039433B">
      <w:pPr>
        <w:jc w:val="center"/>
        <w:rPr>
          <w:color w:val="4472C4" w:themeColor="accent1"/>
          <w:sz w:val="40"/>
          <w:szCs w:val="40"/>
        </w:rPr>
      </w:pPr>
      <w:r w:rsidRPr="0039433B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>Sociální práce s rodiči v rozvodu (rozchodu) a dopady na děti a mladistvé členy rodiny</w:t>
      </w:r>
    </w:p>
    <w:p w14:paraId="61A390B8" w14:textId="50F3315A" w:rsidR="00D22DFA" w:rsidRPr="009F7E5B" w:rsidRDefault="00D22DFA" w:rsidP="00D22DFA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5AF3C8D2" w14:textId="77777777" w:rsidR="00D22DFA" w:rsidRPr="00BE292A" w:rsidRDefault="00D22DFA" w:rsidP="00D22DFA">
      <w:pPr>
        <w:jc w:val="center"/>
        <w:rPr>
          <w:rFonts w:ascii="Arial" w:hAnsi="Arial" w:cs="Arial"/>
          <w:b/>
          <w:bCs/>
        </w:rPr>
      </w:pPr>
      <w:r w:rsidRPr="00BE292A">
        <w:rPr>
          <w:rFonts w:ascii="Arial" w:hAnsi="Arial" w:cs="Arial"/>
          <w:b/>
          <w:bCs/>
        </w:rPr>
        <w:t>(v rámci školení lektor uvede řadu kazuistik a praktických příkladů)</w:t>
      </w:r>
    </w:p>
    <w:p w14:paraId="556C024B" w14:textId="77777777" w:rsidR="00D22DFA" w:rsidRPr="00CF1720" w:rsidRDefault="00D22DFA" w:rsidP="00D22DFA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2BA0E791" w14:textId="77777777" w:rsidR="00D22DFA" w:rsidRPr="00953BAD" w:rsidRDefault="00D22DFA" w:rsidP="00D22DFA">
      <w:pPr>
        <w:ind w:right="-153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7030A0"/>
        </w:rPr>
        <w:t xml:space="preserve">  </w:t>
      </w:r>
      <w:r w:rsidRPr="00953BAD">
        <w:rPr>
          <w:rFonts w:ascii="Arial" w:hAnsi="Arial" w:cs="Arial"/>
          <w:b/>
          <w:color w:val="002060"/>
        </w:rPr>
        <w:t xml:space="preserve">v rozsahu </w:t>
      </w:r>
      <w:r>
        <w:rPr>
          <w:rFonts w:ascii="Arial" w:hAnsi="Arial" w:cs="Arial"/>
          <w:b/>
          <w:color w:val="002060"/>
        </w:rPr>
        <w:t>8</w:t>
      </w:r>
      <w:r w:rsidRPr="00953BAD">
        <w:rPr>
          <w:rFonts w:ascii="Arial" w:hAnsi="Arial" w:cs="Arial"/>
          <w:b/>
          <w:color w:val="002060"/>
        </w:rPr>
        <w:t xml:space="preserve"> vyučovacích hodin</w:t>
      </w:r>
    </w:p>
    <w:p w14:paraId="56E063DD" w14:textId="77777777" w:rsidR="00D22DFA" w:rsidRDefault="00D22DFA" w:rsidP="00D22DFA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79640C58" w14:textId="3E4E60DE" w:rsidR="00D22DFA" w:rsidRPr="0039433B" w:rsidRDefault="00D22DFA" w:rsidP="0039433B">
      <w:pPr>
        <w:rPr>
          <w:rFonts w:ascii="Arial" w:hAnsi="Arial" w:cs="Arial"/>
          <w:color w:val="7030A0"/>
        </w:rPr>
      </w:pPr>
      <w:r w:rsidRPr="0039433B">
        <w:rPr>
          <w:rFonts w:ascii="Arial" w:hAnsi="Arial" w:cs="Arial"/>
          <w:b/>
          <w:color w:val="7030A0"/>
        </w:rPr>
        <w:t xml:space="preserve">akreditace MPSV ČR: </w:t>
      </w:r>
      <w:r w:rsidR="0039433B" w:rsidRPr="0039433B">
        <w:rPr>
          <w:rFonts w:ascii="Arial" w:hAnsi="Arial" w:cs="Arial"/>
          <w:color w:val="7030A0"/>
        </w:rPr>
        <w:t>Sociální práce s rodiči v rozvodu (rozchodu) a dopady na děti a mladistvé členy rodiny</w:t>
      </w:r>
      <w:r w:rsidRPr="0039433B">
        <w:rPr>
          <w:rFonts w:ascii="Arial" w:hAnsi="Arial" w:cs="Arial"/>
          <w:color w:val="7030A0"/>
        </w:rPr>
        <w:t xml:space="preserve"> A2024/0</w:t>
      </w:r>
      <w:r w:rsidR="0039433B">
        <w:rPr>
          <w:rFonts w:ascii="Arial" w:hAnsi="Arial" w:cs="Arial"/>
          <w:color w:val="7030A0"/>
        </w:rPr>
        <w:t>707</w:t>
      </w:r>
      <w:r w:rsidRPr="0039433B">
        <w:rPr>
          <w:rFonts w:ascii="Arial" w:hAnsi="Arial" w:cs="Arial"/>
          <w:color w:val="7030A0"/>
        </w:rPr>
        <w:t>-SP (8 vyučovacích hodin)</w:t>
      </w:r>
    </w:p>
    <w:p w14:paraId="74FB3E5B" w14:textId="35929B86" w:rsidR="00D22DFA" w:rsidRPr="00263F57" w:rsidRDefault="00D22DFA" w:rsidP="00D22DFA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 w:rsidR="00AA203A" w:rsidRPr="00AA203A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07E22" w14:textId="7F6F3CBC" w:rsidR="00D22DFA" w:rsidRPr="00380CBC" w:rsidRDefault="0039433B" w:rsidP="007F4E36">
            <w:pPr>
              <w:rPr>
                <w:color w:val="FFFFFF" w:themeColor="background1"/>
                <w:sz w:val="24"/>
                <w:szCs w:val="24"/>
              </w:rPr>
            </w:pPr>
            <w:r w:rsidRPr="00380CB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Sociální práce s rodiči v rozvodu (rozchodu) a dopady na děti a mladistvé členy rodiny</w:t>
            </w:r>
          </w:p>
          <w:p w14:paraId="5883D240" w14:textId="7B16B166" w:rsidR="007C6CBC" w:rsidRPr="001E2E0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9573364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D22DFA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39433B">
              <w:rPr>
                <w:color w:val="7030A0"/>
              </w:rPr>
              <w:t>707</w:t>
            </w:r>
            <w:r w:rsidR="00A82D62" w:rsidRPr="00846B2E">
              <w:rPr>
                <w:color w:val="7030A0"/>
              </w:rPr>
              <w:t>-SP</w:t>
            </w:r>
            <w:r w:rsidR="00D22DFA">
              <w:rPr>
                <w:color w:val="7030A0"/>
              </w:rPr>
              <w:t xml:space="preserve"> </w:t>
            </w:r>
            <w:r w:rsidR="00A82D62" w:rsidRPr="00846B2E">
              <w:rPr>
                <w:rFonts w:ascii="Arial" w:hAnsi="Arial" w:cs="Arial"/>
                <w:color w:val="7030A0"/>
              </w:rPr>
              <w:t>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AA203A" w:rsidRPr="00AA203A">
              <w:rPr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2B855D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9433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D22DF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040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16EEE38" w:rsidR="007C6CBC" w:rsidRPr="00800F74" w:rsidRDefault="00846B2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C040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39433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22DF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4C040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4C040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4C040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4C040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4C040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5CAD24F7" w:rsidR="007C6CBC" w:rsidRPr="00145E69" w:rsidRDefault="004C0406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B17229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4C040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D34C2B" w14:textId="77777777" w:rsidR="00145E69" w:rsidRDefault="00145E69" w:rsidP="001E2E0A">
      <w:pPr>
        <w:rPr>
          <w:b/>
          <w:color w:val="0070C0"/>
          <w:sz w:val="28"/>
          <w:szCs w:val="28"/>
        </w:rPr>
      </w:pPr>
    </w:p>
    <w:p w14:paraId="0CAC2905" w14:textId="11EFDE3B" w:rsidR="00D22DFA" w:rsidRPr="00280B13" w:rsidRDefault="00D22DFA" w:rsidP="00D22DFA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t>Program semináře</w:t>
      </w:r>
    </w:p>
    <w:p w14:paraId="687E1D16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Úvod do problematiky</w:t>
      </w:r>
      <w:r w:rsidRPr="0039433B">
        <w:rPr>
          <w:color w:val="4472C4" w:themeColor="accent1"/>
        </w:rPr>
        <w:t xml:space="preserve">      </w:t>
      </w:r>
    </w:p>
    <w:p w14:paraId="492ED44C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Současná rozvodovost v ČR. Aspekty rodičovství.  Pouta mezi dospělými partnery. Rozvod jako náročná životní situace dospělých.</w:t>
      </w:r>
    </w:p>
    <w:p w14:paraId="24933264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Dítě v rozvodové situaci</w:t>
      </w:r>
      <w:r w:rsidRPr="0039433B">
        <w:rPr>
          <w:color w:val="4472C4" w:themeColor="accent1"/>
        </w:rPr>
        <w:t xml:space="preserve">    </w:t>
      </w:r>
    </w:p>
    <w:p w14:paraId="3E00E472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Sociální statut dítěte.  Rodina a její poruchy fungování ve vztahu k dítěti. Základy komunikace s dítětem v době rozvodového řízení. Nejlepší zájem dítěte. Důsledky rozvodu ve sféře vlivu na dítě-sociální, psychické, zdravotní. Práva dítěte a jejich zajištění.</w:t>
      </w:r>
    </w:p>
    <w:p w14:paraId="4348B325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Formy porozvodového uspořádání péče o děti</w:t>
      </w:r>
      <w:r w:rsidRPr="0039433B">
        <w:rPr>
          <w:color w:val="4472C4" w:themeColor="accent1"/>
        </w:rPr>
        <w:t xml:space="preserve">    </w:t>
      </w:r>
    </w:p>
    <w:p w14:paraId="570D621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Výsledky výzkumných studií porozvodové péče o děti. Právní úprava péče o dítě po rozvodu. Střídavá, výhradní a společná peče. Vodítka pro rozhodování o typu péče o dítě po rozvodu. Možnosti ovlivnění situace rodičů a dětí. Vývojový trend svěřování dětí do výchovy.</w:t>
      </w:r>
    </w:p>
    <w:p w14:paraId="3778E96B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Posuzování rodičovských kompetencí</w:t>
      </w:r>
      <w:r w:rsidRPr="0039433B">
        <w:rPr>
          <w:color w:val="4472C4" w:themeColor="accent1"/>
        </w:rPr>
        <w:t xml:space="preserve">        </w:t>
      </w:r>
    </w:p>
    <w:p w14:paraId="349F784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Možnosti a meze restorativního přístupu. Výchovné předpoklady rodičů. Kritéria pro hodnocení rodičovských kompetencí. Hodnocení rizik. Syndrom zavrženého rodiče.</w:t>
      </w:r>
    </w:p>
    <w:p w14:paraId="64D5FD6E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Role a možnosti profesionálů a rodin v rozvodu</w:t>
      </w:r>
      <w:r w:rsidRPr="0039433B">
        <w:rPr>
          <w:color w:val="4472C4" w:themeColor="accent1"/>
        </w:rPr>
        <w:t xml:space="preserve">                     </w:t>
      </w:r>
    </w:p>
    <w:p w14:paraId="0068434D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Role a možnosti pracovníků orgánu sociálně právní ochrany dětí. Role mediace a mediátora v rodinném konfliktu. Role a možnosti znalce psychologa, manželského poradce, advokáta a soudce. Asistovaný styk a podporované setkávání.</w:t>
      </w:r>
    </w:p>
    <w:p w14:paraId="3AEA8863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 xml:space="preserve">Závěr </w:t>
      </w:r>
      <w:r w:rsidRPr="0039433B">
        <w:rPr>
          <w:color w:val="4472C4" w:themeColor="accent1"/>
        </w:rPr>
        <w:t xml:space="preserve">  </w:t>
      </w:r>
    </w:p>
    <w:p w14:paraId="527F0645" w14:textId="77777777" w:rsidR="0039433B" w:rsidRPr="0039433B" w:rsidRDefault="0039433B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  <w:r w:rsidRPr="0039433B">
        <w:rPr>
          <w:color w:val="4472C4" w:themeColor="accent1"/>
        </w:rPr>
        <w:t>Shrnutí získaných poznatků a diskuse.</w:t>
      </w:r>
    </w:p>
    <w:p w14:paraId="118BB8FE" w14:textId="77777777" w:rsid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1EB8ABCE" w14:textId="77777777" w:rsidR="004C0406" w:rsidRPr="00D46FE2" w:rsidRDefault="004C0406" w:rsidP="004C0406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41381B85" w14:textId="77777777" w:rsidR="004C0406" w:rsidRDefault="004C0406" w:rsidP="004C040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2DA3C432" w14:textId="2A881270" w:rsidR="004C0406" w:rsidRDefault="004C0406" w:rsidP="004C040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7EAA7B24" w14:textId="77777777" w:rsidR="004C0406" w:rsidRPr="006E4BB6" w:rsidRDefault="004C0406" w:rsidP="004C040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cstheme="minorHAnsi"/>
            <w:szCs w:val="20"/>
          </w:rPr>
          <w:t>www.topseminare.cz</w:t>
        </w:r>
      </w:hyperlink>
      <w:r w:rsidRPr="00345C12">
        <w:rPr>
          <w:rFonts w:cstheme="minorHAnsi"/>
          <w:szCs w:val="20"/>
        </w:rPr>
        <w:t xml:space="preserve"> .</w:t>
      </w:r>
      <w:r w:rsidRPr="00345C12">
        <w:rPr>
          <w:rFonts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cstheme="minorHAnsi"/>
            <w:b/>
            <w:szCs w:val="20"/>
          </w:rPr>
          <w:t>info@topseminare.cz</w:t>
        </w:r>
      </w:hyperlink>
      <w:r w:rsidRPr="00345C12">
        <w:rPr>
          <w:rFonts w:cstheme="minorHAnsi"/>
          <w:b/>
          <w:szCs w:val="20"/>
        </w:rPr>
        <w:t xml:space="preserve">. </w:t>
      </w:r>
    </w:p>
    <w:p w14:paraId="6D431122" w14:textId="77777777" w:rsidR="004C0406" w:rsidRPr="006E4BB6" w:rsidRDefault="004C0406" w:rsidP="004C040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  <w:r w:rsidRPr="00345C12">
        <w:rPr>
          <w:rFonts w:cstheme="minorHAnsi"/>
          <w:sz w:val="20"/>
          <w:szCs w:val="20"/>
        </w:rPr>
        <w:t xml:space="preserve">Úhradu semináře proveďte na náš </w:t>
      </w:r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72B82D8F" w14:textId="77777777" w:rsidR="004C0406" w:rsidRPr="00846B2E" w:rsidRDefault="004C0406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sectPr w:rsidR="004C0406" w:rsidRPr="00846B2E" w:rsidSect="00C05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48E0" w14:textId="77777777" w:rsidR="001A645C" w:rsidRDefault="001A645C" w:rsidP="007C6CBC">
      <w:pPr>
        <w:spacing w:after="0" w:line="240" w:lineRule="auto"/>
      </w:pPr>
      <w:r>
        <w:separator/>
      </w:r>
    </w:p>
  </w:endnote>
  <w:endnote w:type="continuationSeparator" w:id="0">
    <w:p w14:paraId="2403027F" w14:textId="77777777" w:rsidR="001A645C" w:rsidRDefault="001A645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2F41" w14:textId="77777777" w:rsidR="001A645C" w:rsidRDefault="001A645C" w:rsidP="007C6CBC">
      <w:pPr>
        <w:spacing w:after="0" w:line="240" w:lineRule="auto"/>
      </w:pPr>
      <w:r>
        <w:separator/>
      </w:r>
    </w:p>
  </w:footnote>
  <w:footnote w:type="continuationSeparator" w:id="0">
    <w:p w14:paraId="067B2F05" w14:textId="77777777" w:rsidR="001A645C" w:rsidRDefault="001A645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55"/>
    <w:multiLevelType w:val="hybridMultilevel"/>
    <w:tmpl w:val="3B581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1094"/>
    <w:multiLevelType w:val="hybridMultilevel"/>
    <w:tmpl w:val="71C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3"/>
  </w:num>
  <w:num w:numId="6" w16cid:durableId="806820157">
    <w:abstractNumId w:val="1"/>
  </w:num>
  <w:num w:numId="7" w16cid:durableId="171503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1BDA"/>
    <w:rsid w:val="000A5C49"/>
    <w:rsid w:val="00145E69"/>
    <w:rsid w:val="001479B0"/>
    <w:rsid w:val="00163A22"/>
    <w:rsid w:val="00184BC5"/>
    <w:rsid w:val="001959FC"/>
    <w:rsid w:val="001A645C"/>
    <w:rsid w:val="001B61A3"/>
    <w:rsid w:val="001E2E0A"/>
    <w:rsid w:val="00205A98"/>
    <w:rsid w:val="00263F57"/>
    <w:rsid w:val="0028602D"/>
    <w:rsid w:val="00345C12"/>
    <w:rsid w:val="0037371C"/>
    <w:rsid w:val="00380CBC"/>
    <w:rsid w:val="0039433B"/>
    <w:rsid w:val="004037D6"/>
    <w:rsid w:val="00415FF2"/>
    <w:rsid w:val="00484E8B"/>
    <w:rsid w:val="004C0406"/>
    <w:rsid w:val="004E7D05"/>
    <w:rsid w:val="00527619"/>
    <w:rsid w:val="005754E0"/>
    <w:rsid w:val="00646C83"/>
    <w:rsid w:val="007554CC"/>
    <w:rsid w:val="007C6CBC"/>
    <w:rsid w:val="007F4E36"/>
    <w:rsid w:val="00800F74"/>
    <w:rsid w:val="00846B2E"/>
    <w:rsid w:val="008505C5"/>
    <w:rsid w:val="00865CA4"/>
    <w:rsid w:val="00882650"/>
    <w:rsid w:val="008B3214"/>
    <w:rsid w:val="008B79E7"/>
    <w:rsid w:val="00A66A54"/>
    <w:rsid w:val="00A82D62"/>
    <w:rsid w:val="00A9029F"/>
    <w:rsid w:val="00AA203A"/>
    <w:rsid w:val="00AA6CC5"/>
    <w:rsid w:val="00B14BE3"/>
    <w:rsid w:val="00BA7654"/>
    <w:rsid w:val="00BD5CC2"/>
    <w:rsid w:val="00C058BF"/>
    <w:rsid w:val="00C72B7C"/>
    <w:rsid w:val="00C81E4D"/>
    <w:rsid w:val="00D22DFA"/>
    <w:rsid w:val="00D665A0"/>
    <w:rsid w:val="00D7105B"/>
    <w:rsid w:val="00DA6492"/>
    <w:rsid w:val="00E40414"/>
    <w:rsid w:val="00E44081"/>
    <w:rsid w:val="00EA5440"/>
    <w:rsid w:val="00EE3D24"/>
    <w:rsid w:val="00F21B09"/>
    <w:rsid w:val="00F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7</cp:revision>
  <dcterms:created xsi:type="dcterms:W3CDTF">2024-10-26T04:08:00Z</dcterms:created>
  <dcterms:modified xsi:type="dcterms:W3CDTF">2025-02-12T16:16:00Z</dcterms:modified>
</cp:coreProperties>
</file>